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4.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67018A">
        <w:rPr>
          <w:rFonts w:cstheme="minorBidi"/>
        </w:rPr>
        <w:t>5</w:t>
      </w:r>
      <w:r w:rsidR="00845ED4">
        <w:rPr>
          <w:rFonts w:cstheme="minorBidi"/>
        </w:rPr>
        <w:t>4</w:t>
      </w:r>
      <w:r w:rsidR="007F7D43">
        <w:rPr>
          <w:rFonts w:cstheme="minorBidi"/>
        </w:rPr>
        <w:t>.</w:t>
      </w:r>
      <w:r w:rsidR="0097361B">
        <w:rPr>
          <w:rFonts w:cstheme="minorBidi"/>
        </w:rPr>
        <w:t>0</w:t>
      </w:r>
      <w:r w:rsidR="00845ED4">
        <w:rPr>
          <w:rFonts w:cstheme="minorBidi"/>
        </w:rPr>
        <w:t xml:space="preserve"> -</w:t>
      </w:r>
      <w:r w:rsidR="0071456D">
        <w:rPr>
          <w:rFonts w:cstheme="minorBidi"/>
        </w:rPr>
        <w:t xml:space="preserve"> </w:t>
      </w:r>
      <w:r w:rsidR="00747831">
        <w:rPr>
          <w:rFonts w:cstheme="minorBidi"/>
        </w:rPr>
        <w:t xml:space="preserve"> </w:t>
      </w:r>
      <w:r w:rsidR="004D5B08">
        <w:rPr>
          <w:rFonts w:cstheme="minorBidi"/>
        </w:rPr>
        <w:t>10</w:t>
      </w:r>
      <w:bookmarkStart w:id="1" w:name="_GoBack"/>
      <w:bookmarkEnd w:id="1"/>
      <w:r w:rsidR="00845ED4">
        <w:rPr>
          <w:rFonts w:cstheme="minorBidi"/>
        </w:rPr>
        <w:t xml:space="preserve"> marca</w:t>
      </w:r>
      <w:r w:rsidR="006033A1">
        <w:rPr>
          <w:rFonts w:cstheme="minorBidi"/>
        </w:rPr>
        <w:t xml:space="preserve"> </w:t>
      </w:r>
      <w:r w:rsidR="00036EFA" w:rsidRPr="00CC4C4D">
        <w:rPr>
          <w:rFonts w:cstheme="minorBidi"/>
        </w:rPr>
        <w:t>20</w:t>
      </w:r>
      <w:r w:rsidR="005941C1">
        <w:rPr>
          <w:rFonts w:cstheme="minorBidi"/>
        </w:rPr>
        <w:t>2</w:t>
      </w:r>
      <w:r w:rsidR="00496A59">
        <w:rPr>
          <w:rFonts w:cstheme="minorBidi"/>
        </w:rPr>
        <w:t>1</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390E4FBD" wp14:editId="7515C6EB">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8E0353">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Pr>
                <w:noProof/>
                <w:webHidden/>
              </w:rPr>
              <w:fldChar w:fldCharType="begin"/>
            </w:r>
            <w:r w:rsidR="001648E3">
              <w:rPr>
                <w:noProof/>
                <w:webHidden/>
              </w:rPr>
              <w:instrText xml:space="preserve"> PAGEREF _Toc43191110 \h </w:instrText>
            </w:r>
            <w:r>
              <w:rPr>
                <w:noProof/>
                <w:webHidden/>
              </w:rPr>
            </w:r>
            <w:r>
              <w:rPr>
                <w:noProof/>
                <w:webHidden/>
              </w:rPr>
              <w:fldChar w:fldCharType="separate"/>
            </w:r>
            <w:r w:rsidR="00996976">
              <w:rPr>
                <w:noProof/>
                <w:webHidden/>
              </w:rPr>
              <w:t>1</w:t>
            </w:r>
            <w:r>
              <w:rPr>
                <w:noProof/>
                <w:webHidden/>
              </w:rPr>
              <w:fldChar w:fldCharType="end"/>
            </w:r>
          </w:hyperlink>
        </w:p>
        <w:p w:rsidR="001648E3" w:rsidRDefault="004D5B08">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8E0353">
              <w:rPr>
                <w:noProof/>
                <w:webHidden/>
              </w:rPr>
              <w:fldChar w:fldCharType="begin"/>
            </w:r>
            <w:r w:rsidR="001648E3">
              <w:rPr>
                <w:noProof/>
                <w:webHidden/>
              </w:rPr>
              <w:instrText xml:space="preserve"> PAGEREF _Toc43191111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8E0353">
              <w:rPr>
                <w:noProof/>
                <w:webHidden/>
              </w:rPr>
              <w:fldChar w:fldCharType="begin"/>
            </w:r>
            <w:r w:rsidR="001648E3">
              <w:rPr>
                <w:noProof/>
                <w:webHidden/>
              </w:rPr>
              <w:instrText xml:space="preserve"> PAGEREF _Toc43191112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4D5B08">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8E0353">
              <w:rPr>
                <w:noProof/>
                <w:webHidden/>
              </w:rPr>
              <w:fldChar w:fldCharType="begin"/>
            </w:r>
            <w:r w:rsidR="001648E3">
              <w:rPr>
                <w:noProof/>
                <w:webHidden/>
              </w:rPr>
              <w:instrText xml:space="preserve"> PAGEREF _Toc43191113 \h </w:instrText>
            </w:r>
            <w:r w:rsidR="008E0353">
              <w:rPr>
                <w:noProof/>
                <w:webHidden/>
              </w:rPr>
            </w:r>
            <w:r w:rsidR="008E0353">
              <w:rPr>
                <w:noProof/>
                <w:webHidden/>
              </w:rPr>
              <w:fldChar w:fldCharType="separate"/>
            </w:r>
            <w:r w:rsidR="00996976">
              <w:rPr>
                <w:noProof/>
                <w:webHidden/>
              </w:rPr>
              <w:t>7</w:t>
            </w:r>
            <w:r w:rsidR="008E0353">
              <w:rPr>
                <w:noProof/>
                <w:webHidden/>
              </w:rPr>
              <w:fldChar w:fldCharType="end"/>
            </w:r>
          </w:hyperlink>
        </w:p>
        <w:p w:rsidR="001648E3" w:rsidRDefault="004D5B08">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8E0353">
              <w:rPr>
                <w:noProof/>
                <w:webHidden/>
              </w:rPr>
              <w:fldChar w:fldCharType="begin"/>
            </w:r>
            <w:r w:rsidR="001648E3">
              <w:rPr>
                <w:noProof/>
                <w:webHidden/>
              </w:rPr>
              <w:instrText xml:space="preserve"> PAGEREF _Toc43191114 \h </w:instrText>
            </w:r>
            <w:r w:rsidR="008E0353">
              <w:rPr>
                <w:noProof/>
                <w:webHidden/>
              </w:rPr>
            </w:r>
            <w:r w:rsidR="008E0353">
              <w:rPr>
                <w:noProof/>
                <w:webHidden/>
              </w:rPr>
              <w:fldChar w:fldCharType="separate"/>
            </w:r>
            <w:r w:rsidR="00996976">
              <w:rPr>
                <w:noProof/>
                <w:webHidden/>
              </w:rPr>
              <w:t>13</w:t>
            </w:r>
            <w:r w:rsidR="008E0353">
              <w:rPr>
                <w:noProof/>
                <w:webHidden/>
              </w:rPr>
              <w:fldChar w:fldCharType="end"/>
            </w:r>
          </w:hyperlink>
        </w:p>
        <w:p w:rsidR="001648E3" w:rsidRDefault="004D5B08">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8E0353">
              <w:rPr>
                <w:noProof/>
                <w:webHidden/>
              </w:rPr>
              <w:fldChar w:fldCharType="begin"/>
            </w:r>
            <w:r w:rsidR="001648E3">
              <w:rPr>
                <w:noProof/>
                <w:webHidden/>
              </w:rPr>
              <w:instrText xml:space="preserve"> PAGEREF _Toc43191115 \h </w:instrText>
            </w:r>
            <w:r w:rsidR="008E0353">
              <w:rPr>
                <w:noProof/>
                <w:webHidden/>
              </w:rPr>
            </w:r>
            <w:r w:rsidR="008E0353">
              <w:rPr>
                <w:noProof/>
                <w:webHidden/>
              </w:rPr>
              <w:fldChar w:fldCharType="separate"/>
            </w:r>
            <w:r w:rsidR="00996976">
              <w:rPr>
                <w:noProof/>
                <w:webHidden/>
              </w:rPr>
              <w:t>18</w:t>
            </w:r>
            <w:r w:rsidR="008E0353">
              <w:rPr>
                <w:noProof/>
                <w:webHidden/>
              </w:rPr>
              <w:fldChar w:fldCharType="end"/>
            </w:r>
          </w:hyperlink>
        </w:p>
        <w:p w:rsidR="001648E3" w:rsidRDefault="004D5B08">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8E0353">
              <w:rPr>
                <w:noProof/>
                <w:webHidden/>
              </w:rPr>
              <w:fldChar w:fldCharType="begin"/>
            </w:r>
            <w:r w:rsidR="001648E3">
              <w:rPr>
                <w:noProof/>
                <w:webHidden/>
              </w:rPr>
              <w:instrText xml:space="preserve"> PAGEREF _Toc43191116 \h </w:instrText>
            </w:r>
            <w:r w:rsidR="008E0353">
              <w:rPr>
                <w:noProof/>
                <w:webHidden/>
              </w:rPr>
            </w:r>
            <w:r w:rsidR="008E0353">
              <w:rPr>
                <w:noProof/>
                <w:webHidden/>
              </w:rPr>
              <w:fldChar w:fldCharType="separate"/>
            </w:r>
            <w:r w:rsidR="00996976">
              <w:rPr>
                <w:noProof/>
                <w:webHidden/>
              </w:rPr>
              <w:t>22</w:t>
            </w:r>
            <w:r w:rsidR="008E0353">
              <w:rPr>
                <w:noProof/>
                <w:webHidden/>
              </w:rPr>
              <w:fldChar w:fldCharType="end"/>
            </w:r>
          </w:hyperlink>
        </w:p>
        <w:p w:rsidR="001648E3" w:rsidRDefault="004D5B08">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8E0353">
              <w:rPr>
                <w:noProof/>
                <w:webHidden/>
              </w:rPr>
              <w:fldChar w:fldCharType="begin"/>
            </w:r>
            <w:r w:rsidR="001648E3">
              <w:rPr>
                <w:noProof/>
                <w:webHidden/>
              </w:rPr>
              <w:instrText xml:space="preserve"> PAGEREF _Toc43191117 \h </w:instrText>
            </w:r>
            <w:r w:rsidR="008E0353">
              <w:rPr>
                <w:noProof/>
                <w:webHidden/>
              </w:rPr>
            </w:r>
            <w:r w:rsidR="008E0353">
              <w:rPr>
                <w:noProof/>
                <w:webHidden/>
              </w:rPr>
              <w:fldChar w:fldCharType="separate"/>
            </w:r>
            <w:r w:rsidR="00996976">
              <w:rPr>
                <w:noProof/>
                <w:webHidden/>
              </w:rPr>
              <w:t>26</w:t>
            </w:r>
            <w:r w:rsidR="008E0353">
              <w:rPr>
                <w:noProof/>
                <w:webHidden/>
              </w:rPr>
              <w:fldChar w:fldCharType="end"/>
            </w:r>
          </w:hyperlink>
        </w:p>
        <w:p w:rsidR="001648E3" w:rsidRDefault="004D5B08">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8E0353">
              <w:rPr>
                <w:noProof/>
                <w:webHidden/>
              </w:rPr>
              <w:fldChar w:fldCharType="begin"/>
            </w:r>
            <w:r w:rsidR="001648E3">
              <w:rPr>
                <w:noProof/>
                <w:webHidden/>
              </w:rPr>
              <w:instrText xml:space="preserve"> PAGEREF _Toc43191118 \h </w:instrText>
            </w:r>
            <w:r w:rsidR="008E0353">
              <w:rPr>
                <w:noProof/>
                <w:webHidden/>
              </w:rPr>
            </w:r>
            <w:r w:rsidR="008E0353">
              <w:rPr>
                <w:noProof/>
                <w:webHidden/>
              </w:rPr>
              <w:fldChar w:fldCharType="separate"/>
            </w:r>
            <w:r w:rsidR="00996976">
              <w:rPr>
                <w:noProof/>
                <w:webHidden/>
              </w:rPr>
              <w:t>30</w:t>
            </w:r>
            <w:r w:rsidR="008E0353">
              <w:rPr>
                <w:noProof/>
                <w:webHidden/>
              </w:rPr>
              <w:fldChar w:fldCharType="end"/>
            </w:r>
          </w:hyperlink>
        </w:p>
        <w:p w:rsidR="001648E3" w:rsidRDefault="004D5B08">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8E0353">
              <w:rPr>
                <w:noProof/>
                <w:webHidden/>
              </w:rPr>
              <w:fldChar w:fldCharType="begin"/>
            </w:r>
            <w:r w:rsidR="001648E3">
              <w:rPr>
                <w:noProof/>
                <w:webHidden/>
              </w:rPr>
              <w:instrText xml:space="preserve"> PAGEREF _Toc43191119 \h </w:instrText>
            </w:r>
            <w:r w:rsidR="008E0353">
              <w:rPr>
                <w:noProof/>
                <w:webHidden/>
              </w:rPr>
            </w:r>
            <w:r w:rsidR="008E0353">
              <w:rPr>
                <w:noProof/>
                <w:webHidden/>
              </w:rPr>
              <w:fldChar w:fldCharType="separate"/>
            </w:r>
            <w:r w:rsidR="00996976">
              <w:rPr>
                <w:noProof/>
                <w:webHidden/>
              </w:rPr>
              <w:t>34</w:t>
            </w:r>
            <w:r w:rsidR="008E0353">
              <w:rPr>
                <w:noProof/>
                <w:webHidden/>
              </w:rPr>
              <w:fldChar w:fldCharType="end"/>
            </w:r>
          </w:hyperlink>
        </w:p>
        <w:p w:rsidR="001648E3" w:rsidRDefault="004D5B08">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8E0353">
              <w:rPr>
                <w:noProof/>
                <w:webHidden/>
              </w:rPr>
              <w:fldChar w:fldCharType="begin"/>
            </w:r>
            <w:r w:rsidR="001648E3">
              <w:rPr>
                <w:noProof/>
                <w:webHidden/>
              </w:rPr>
              <w:instrText xml:space="preserve"> PAGEREF _Toc43191120 \h </w:instrText>
            </w:r>
            <w:r w:rsidR="008E0353">
              <w:rPr>
                <w:noProof/>
                <w:webHidden/>
              </w:rPr>
            </w:r>
            <w:r w:rsidR="008E0353">
              <w:rPr>
                <w:noProof/>
                <w:webHidden/>
              </w:rPr>
              <w:fldChar w:fldCharType="separate"/>
            </w:r>
            <w:r w:rsidR="00996976">
              <w:rPr>
                <w:noProof/>
                <w:webHidden/>
              </w:rPr>
              <w:t>38</w:t>
            </w:r>
            <w:r w:rsidR="008E0353">
              <w:rPr>
                <w:noProof/>
                <w:webHidden/>
              </w:rPr>
              <w:fldChar w:fldCharType="end"/>
            </w:r>
          </w:hyperlink>
        </w:p>
        <w:p w:rsidR="001648E3" w:rsidRDefault="004D5B08">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8E0353">
              <w:rPr>
                <w:noProof/>
                <w:webHidden/>
              </w:rPr>
              <w:fldChar w:fldCharType="begin"/>
            </w:r>
            <w:r w:rsidR="001648E3">
              <w:rPr>
                <w:noProof/>
                <w:webHidden/>
              </w:rPr>
              <w:instrText xml:space="preserve"> PAGEREF _Toc43191121 \h </w:instrText>
            </w:r>
            <w:r w:rsidR="008E0353">
              <w:rPr>
                <w:noProof/>
                <w:webHidden/>
              </w:rPr>
            </w:r>
            <w:r w:rsidR="008E0353">
              <w:rPr>
                <w:noProof/>
                <w:webHidden/>
              </w:rPr>
              <w:fldChar w:fldCharType="separate"/>
            </w:r>
            <w:r w:rsidR="00996976">
              <w:rPr>
                <w:noProof/>
                <w:webHidden/>
              </w:rPr>
              <w:t>42</w:t>
            </w:r>
            <w:r w:rsidR="008E0353">
              <w:rPr>
                <w:noProof/>
                <w:webHidden/>
              </w:rPr>
              <w:fldChar w:fldCharType="end"/>
            </w:r>
          </w:hyperlink>
        </w:p>
        <w:p w:rsidR="001648E3" w:rsidRDefault="004D5B08">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8E0353">
              <w:rPr>
                <w:noProof/>
                <w:webHidden/>
              </w:rPr>
              <w:fldChar w:fldCharType="begin"/>
            </w:r>
            <w:r w:rsidR="001648E3">
              <w:rPr>
                <w:noProof/>
                <w:webHidden/>
              </w:rPr>
              <w:instrText xml:space="preserve"> PAGEREF _Toc43191122 \h </w:instrText>
            </w:r>
            <w:r w:rsidR="008E0353">
              <w:rPr>
                <w:noProof/>
                <w:webHidden/>
              </w:rPr>
            </w:r>
            <w:r w:rsidR="008E0353">
              <w:rPr>
                <w:noProof/>
                <w:webHidden/>
              </w:rPr>
              <w:fldChar w:fldCharType="separate"/>
            </w:r>
            <w:r w:rsidR="00996976">
              <w:rPr>
                <w:noProof/>
                <w:webHidden/>
              </w:rPr>
              <w:t>46</w:t>
            </w:r>
            <w:r w:rsidR="008E0353">
              <w:rPr>
                <w:noProof/>
                <w:webHidden/>
              </w:rPr>
              <w:fldChar w:fldCharType="end"/>
            </w:r>
          </w:hyperlink>
        </w:p>
        <w:p w:rsidR="001648E3" w:rsidRDefault="004D5B08">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8E0353">
              <w:rPr>
                <w:noProof/>
                <w:webHidden/>
              </w:rPr>
              <w:fldChar w:fldCharType="begin"/>
            </w:r>
            <w:r w:rsidR="001648E3">
              <w:rPr>
                <w:noProof/>
                <w:webHidden/>
              </w:rPr>
              <w:instrText xml:space="preserve"> PAGEREF _Toc43191123 \h </w:instrText>
            </w:r>
            <w:r w:rsidR="008E0353">
              <w:rPr>
                <w:noProof/>
                <w:webHidden/>
              </w:rPr>
            </w:r>
            <w:r w:rsidR="008E0353">
              <w:rPr>
                <w:noProof/>
                <w:webHidden/>
              </w:rPr>
              <w:fldChar w:fldCharType="separate"/>
            </w:r>
            <w:r w:rsidR="00996976">
              <w:rPr>
                <w:noProof/>
                <w:webHidden/>
              </w:rPr>
              <w:t>51</w:t>
            </w:r>
            <w:r w:rsidR="008E0353">
              <w:rPr>
                <w:noProof/>
                <w:webHidden/>
              </w:rPr>
              <w:fldChar w:fldCharType="end"/>
            </w:r>
          </w:hyperlink>
        </w:p>
        <w:p w:rsidR="001648E3" w:rsidRDefault="004D5B08">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8E0353">
              <w:rPr>
                <w:noProof/>
                <w:webHidden/>
              </w:rPr>
              <w:fldChar w:fldCharType="begin"/>
            </w:r>
            <w:r w:rsidR="001648E3">
              <w:rPr>
                <w:noProof/>
                <w:webHidden/>
              </w:rPr>
              <w:instrText xml:space="preserve"> PAGEREF _Toc43191124 \h </w:instrText>
            </w:r>
            <w:r w:rsidR="008E0353">
              <w:rPr>
                <w:noProof/>
                <w:webHidden/>
              </w:rPr>
            </w:r>
            <w:r w:rsidR="008E0353">
              <w:rPr>
                <w:noProof/>
                <w:webHidden/>
              </w:rPr>
              <w:fldChar w:fldCharType="separate"/>
            </w:r>
            <w:r w:rsidR="00996976">
              <w:rPr>
                <w:noProof/>
                <w:webHidden/>
              </w:rPr>
              <w:t>56</w:t>
            </w:r>
            <w:r w:rsidR="008E0353">
              <w:rPr>
                <w:noProof/>
                <w:webHidden/>
              </w:rPr>
              <w:fldChar w:fldCharType="end"/>
            </w:r>
          </w:hyperlink>
        </w:p>
        <w:p w:rsidR="001648E3" w:rsidRDefault="004D5B08">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8E0353">
              <w:rPr>
                <w:noProof/>
                <w:webHidden/>
              </w:rPr>
              <w:fldChar w:fldCharType="begin"/>
            </w:r>
            <w:r w:rsidR="001648E3">
              <w:rPr>
                <w:noProof/>
                <w:webHidden/>
              </w:rPr>
              <w:instrText xml:space="preserve"> PAGEREF _Toc43191125 \h </w:instrText>
            </w:r>
            <w:r w:rsidR="008E0353">
              <w:rPr>
                <w:noProof/>
                <w:webHidden/>
              </w:rPr>
            </w:r>
            <w:r w:rsidR="008E0353">
              <w:rPr>
                <w:noProof/>
                <w:webHidden/>
              </w:rPr>
              <w:fldChar w:fldCharType="separate"/>
            </w:r>
            <w:r w:rsidR="00996976">
              <w:rPr>
                <w:noProof/>
                <w:webHidden/>
              </w:rPr>
              <w:t>61</w:t>
            </w:r>
            <w:r w:rsidR="008E0353">
              <w:rPr>
                <w:noProof/>
                <w:webHidden/>
              </w:rPr>
              <w:fldChar w:fldCharType="end"/>
            </w:r>
          </w:hyperlink>
        </w:p>
        <w:p w:rsidR="001648E3" w:rsidRDefault="004D5B08">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8E0353">
              <w:rPr>
                <w:noProof/>
                <w:webHidden/>
              </w:rPr>
              <w:fldChar w:fldCharType="begin"/>
            </w:r>
            <w:r w:rsidR="001648E3">
              <w:rPr>
                <w:noProof/>
                <w:webHidden/>
              </w:rPr>
              <w:instrText xml:space="preserve"> PAGEREF _Toc43191126 \h </w:instrText>
            </w:r>
            <w:r w:rsidR="008E0353">
              <w:rPr>
                <w:noProof/>
                <w:webHidden/>
              </w:rPr>
            </w:r>
            <w:r w:rsidR="008E0353">
              <w:rPr>
                <w:noProof/>
                <w:webHidden/>
              </w:rPr>
              <w:fldChar w:fldCharType="separate"/>
            </w:r>
            <w:r w:rsidR="00996976">
              <w:rPr>
                <w:noProof/>
                <w:webHidden/>
              </w:rPr>
              <w:t>66</w:t>
            </w:r>
            <w:r w:rsidR="008E0353">
              <w:rPr>
                <w:noProof/>
                <w:webHidden/>
              </w:rPr>
              <w:fldChar w:fldCharType="end"/>
            </w:r>
          </w:hyperlink>
        </w:p>
        <w:p w:rsidR="001648E3" w:rsidRDefault="004D5B08">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8E0353">
              <w:rPr>
                <w:noProof/>
                <w:webHidden/>
              </w:rPr>
              <w:fldChar w:fldCharType="begin"/>
            </w:r>
            <w:r w:rsidR="001648E3">
              <w:rPr>
                <w:noProof/>
                <w:webHidden/>
              </w:rPr>
              <w:instrText xml:space="preserve"> PAGEREF _Toc43191127 \h </w:instrText>
            </w:r>
            <w:r w:rsidR="008E0353">
              <w:rPr>
                <w:noProof/>
                <w:webHidden/>
              </w:rPr>
            </w:r>
            <w:r w:rsidR="008E0353">
              <w:rPr>
                <w:noProof/>
                <w:webHidden/>
              </w:rPr>
              <w:fldChar w:fldCharType="separate"/>
            </w:r>
            <w:r w:rsidR="00996976">
              <w:rPr>
                <w:noProof/>
                <w:webHidden/>
              </w:rPr>
              <w:t>70</w:t>
            </w:r>
            <w:r w:rsidR="008E0353">
              <w:rPr>
                <w:noProof/>
                <w:webHidden/>
              </w:rPr>
              <w:fldChar w:fldCharType="end"/>
            </w:r>
          </w:hyperlink>
        </w:p>
        <w:p w:rsidR="001648E3" w:rsidRDefault="004D5B08">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8E0353">
              <w:rPr>
                <w:noProof/>
                <w:webHidden/>
              </w:rPr>
              <w:fldChar w:fldCharType="begin"/>
            </w:r>
            <w:r w:rsidR="001648E3">
              <w:rPr>
                <w:noProof/>
                <w:webHidden/>
              </w:rPr>
              <w:instrText xml:space="preserve"> PAGEREF _Toc43191128 \h </w:instrText>
            </w:r>
            <w:r w:rsidR="008E0353">
              <w:rPr>
                <w:noProof/>
                <w:webHidden/>
              </w:rPr>
            </w:r>
            <w:r w:rsidR="008E0353">
              <w:rPr>
                <w:noProof/>
                <w:webHidden/>
              </w:rPr>
              <w:fldChar w:fldCharType="separate"/>
            </w:r>
            <w:r w:rsidR="00996976">
              <w:rPr>
                <w:noProof/>
                <w:webHidden/>
              </w:rPr>
              <w:t>75</w:t>
            </w:r>
            <w:r w:rsidR="008E0353">
              <w:rPr>
                <w:noProof/>
                <w:webHidden/>
              </w:rPr>
              <w:fldChar w:fldCharType="end"/>
            </w:r>
          </w:hyperlink>
        </w:p>
        <w:p w:rsidR="001648E3" w:rsidRDefault="004D5B08">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8E0353">
              <w:rPr>
                <w:noProof/>
                <w:webHidden/>
              </w:rPr>
              <w:fldChar w:fldCharType="begin"/>
            </w:r>
            <w:r w:rsidR="001648E3">
              <w:rPr>
                <w:noProof/>
                <w:webHidden/>
              </w:rPr>
              <w:instrText xml:space="preserve"> PAGEREF _Toc43191129 \h </w:instrText>
            </w:r>
            <w:r w:rsidR="008E0353">
              <w:rPr>
                <w:noProof/>
                <w:webHidden/>
              </w:rPr>
            </w:r>
            <w:r w:rsidR="008E0353">
              <w:rPr>
                <w:noProof/>
                <w:webHidden/>
              </w:rPr>
              <w:fldChar w:fldCharType="separate"/>
            </w:r>
            <w:r w:rsidR="00996976">
              <w:rPr>
                <w:noProof/>
                <w:webHidden/>
              </w:rPr>
              <w:t>81</w:t>
            </w:r>
            <w:r w:rsidR="008E0353">
              <w:rPr>
                <w:noProof/>
                <w:webHidden/>
              </w:rPr>
              <w:fldChar w:fldCharType="end"/>
            </w:r>
          </w:hyperlink>
        </w:p>
        <w:p w:rsidR="001648E3" w:rsidRDefault="004D5B08">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8E0353">
              <w:rPr>
                <w:noProof/>
                <w:webHidden/>
              </w:rPr>
              <w:fldChar w:fldCharType="begin"/>
            </w:r>
            <w:r w:rsidR="001648E3">
              <w:rPr>
                <w:noProof/>
                <w:webHidden/>
              </w:rPr>
              <w:instrText xml:space="preserve"> PAGEREF _Toc43191130 \h </w:instrText>
            </w:r>
            <w:r w:rsidR="008E0353">
              <w:rPr>
                <w:noProof/>
                <w:webHidden/>
              </w:rPr>
            </w:r>
            <w:r w:rsidR="008E0353">
              <w:rPr>
                <w:noProof/>
                <w:webHidden/>
              </w:rPr>
              <w:fldChar w:fldCharType="separate"/>
            </w:r>
            <w:r w:rsidR="00996976">
              <w:rPr>
                <w:noProof/>
                <w:webHidden/>
              </w:rPr>
              <w:t>85</w:t>
            </w:r>
            <w:r w:rsidR="008E0353">
              <w:rPr>
                <w:noProof/>
                <w:webHidden/>
              </w:rPr>
              <w:fldChar w:fldCharType="end"/>
            </w:r>
          </w:hyperlink>
        </w:p>
        <w:p w:rsidR="001648E3" w:rsidRPr="002B567D" w:rsidRDefault="004D5B08"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008E035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8E0353" w:rsidRPr="002B567D">
              <w:rPr>
                <w:rStyle w:val="Hipercze"/>
                <w:rFonts w:ascii="Myriad Pro" w:eastAsia="Times New Roman" w:hAnsi="Myriad Pro" w:cs="Times New Roman"/>
                <w:noProof/>
                <w:webHidden/>
              </w:rPr>
            </w:r>
            <w:r w:rsidR="008E0353"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008E0353" w:rsidRPr="002B567D">
              <w:rPr>
                <w:rStyle w:val="Hipercze"/>
                <w:rFonts w:ascii="Myriad Pro" w:eastAsia="Times New Roman" w:hAnsi="Myriad Pro" w:cs="Times New Roman"/>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8E0353">
              <w:rPr>
                <w:noProof/>
                <w:webHidden/>
              </w:rPr>
              <w:fldChar w:fldCharType="begin"/>
            </w:r>
            <w:r w:rsidR="001648E3">
              <w:rPr>
                <w:noProof/>
                <w:webHidden/>
              </w:rPr>
              <w:instrText xml:space="preserve"> PAGEREF _Toc43191132 \h </w:instrText>
            </w:r>
            <w:r w:rsidR="008E0353">
              <w:rPr>
                <w:noProof/>
                <w:webHidden/>
              </w:rPr>
            </w:r>
            <w:r w:rsidR="008E0353">
              <w:rPr>
                <w:noProof/>
                <w:webHidden/>
              </w:rPr>
              <w:fldChar w:fldCharType="separate"/>
            </w:r>
            <w:r w:rsidR="00996976">
              <w:rPr>
                <w:noProof/>
                <w:webHidden/>
              </w:rPr>
              <w:t>93</w:t>
            </w:r>
            <w:r w:rsidR="008E0353">
              <w:rPr>
                <w:noProof/>
                <w:webHidden/>
              </w:rPr>
              <w:fldChar w:fldCharType="end"/>
            </w:r>
          </w:hyperlink>
        </w:p>
        <w:p w:rsidR="001648E3" w:rsidRDefault="004D5B08">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8E0353">
              <w:rPr>
                <w:noProof/>
                <w:webHidden/>
              </w:rPr>
              <w:fldChar w:fldCharType="begin"/>
            </w:r>
            <w:r w:rsidR="001648E3">
              <w:rPr>
                <w:noProof/>
                <w:webHidden/>
              </w:rPr>
              <w:instrText xml:space="preserve"> PAGEREF _Toc43191133 \h </w:instrText>
            </w:r>
            <w:r w:rsidR="008E0353">
              <w:rPr>
                <w:noProof/>
                <w:webHidden/>
              </w:rPr>
            </w:r>
            <w:r w:rsidR="008E0353">
              <w:rPr>
                <w:noProof/>
                <w:webHidden/>
              </w:rPr>
              <w:fldChar w:fldCharType="separate"/>
            </w:r>
            <w:r w:rsidR="00996976">
              <w:rPr>
                <w:noProof/>
                <w:webHidden/>
              </w:rPr>
              <w:t>95</w:t>
            </w:r>
            <w:r w:rsidR="008E0353">
              <w:rPr>
                <w:noProof/>
                <w:webHidden/>
              </w:rPr>
              <w:fldChar w:fldCharType="end"/>
            </w:r>
          </w:hyperlink>
        </w:p>
        <w:p w:rsidR="001648E3" w:rsidRDefault="004D5B08">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_Toc43191134 \h </w:instrText>
            </w:r>
            <w:r w:rsidR="008E0353">
              <w:rPr>
                <w:noProof/>
                <w:webHidden/>
              </w:rPr>
            </w:r>
            <w:r w:rsidR="008E0353">
              <w:rPr>
                <w:noProof/>
                <w:webHidden/>
              </w:rPr>
              <w:fldChar w:fldCharType="separate"/>
            </w:r>
            <w:r w:rsidR="00996976">
              <w:rPr>
                <w:noProof/>
                <w:webHidden/>
              </w:rPr>
              <w:t>101</w:t>
            </w:r>
            <w:r w:rsidR="008E0353">
              <w:rPr>
                <w:noProof/>
                <w:webHidden/>
              </w:rPr>
              <w:fldChar w:fldCharType="end"/>
            </w:r>
          </w:hyperlink>
        </w:p>
        <w:p w:rsidR="001648E3" w:rsidRDefault="004D5B08">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8E0353">
              <w:rPr>
                <w:noProof/>
                <w:webHidden/>
              </w:rPr>
              <w:fldChar w:fldCharType="begin"/>
            </w:r>
            <w:r w:rsidR="001648E3">
              <w:rPr>
                <w:noProof/>
                <w:webHidden/>
              </w:rPr>
              <w:instrText xml:space="preserve"> PAGEREF _Toc43191135 \h </w:instrText>
            </w:r>
            <w:r w:rsidR="008E0353">
              <w:rPr>
                <w:noProof/>
                <w:webHidden/>
              </w:rPr>
            </w:r>
            <w:r w:rsidR="008E0353">
              <w:rPr>
                <w:noProof/>
                <w:webHidden/>
              </w:rPr>
              <w:fldChar w:fldCharType="separate"/>
            </w:r>
            <w:r w:rsidR="00996976">
              <w:rPr>
                <w:noProof/>
                <w:webHidden/>
              </w:rPr>
              <w:t>107</w:t>
            </w:r>
            <w:r w:rsidR="008E0353">
              <w:rPr>
                <w:noProof/>
                <w:webHidden/>
              </w:rPr>
              <w:fldChar w:fldCharType="end"/>
            </w:r>
          </w:hyperlink>
        </w:p>
        <w:p w:rsidR="001648E3" w:rsidRDefault="004D5B08">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8E0353">
              <w:rPr>
                <w:noProof/>
                <w:webHidden/>
              </w:rPr>
              <w:fldChar w:fldCharType="begin"/>
            </w:r>
            <w:r w:rsidR="001648E3">
              <w:rPr>
                <w:noProof/>
                <w:webHidden/>
              </w:rPr>
              <w:instrText xml:space="preserve"> PAGEREF _Toc43191136 \h </w:instrText>
            </w:r>
            <w:r w:rsidR="008E0353">
              <w:rPr>
                <w:noProof/>
                <w:webHidden/>
              </w:rPr>
            </w:r>
            <w:r w:rsidR="008E0353">
              <w:rPr>
                <w:noProof/>
                <w:webHidden/>
              </w:rPr>
              <w:fldChar w:fldCharType="separate"/>
            </w:r>
            <w:r w:rsidR="00996976">
              <w:rPr>
                <w:noProof/>
                <w:webHidden/>
              </w:rPr>
              <w:t>113</w:t>
            </w:r>
            <w:r w:rsidR="008E0353">
              <w:rPr>
                <w:noProof/>
                <w:webHidden/>
              </w:rPr>
              <w:fldChar w:fldCharType="end"/>
            </w:r>
          </w:hyperlink>
        </w:p>
        <w:p w:rsidR="001648E3" w:rsidRDefault="004D5B08">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8E0353">
              <w:rPr>
                <w:noProof/>
                <w:webHidden/>
              </w:rPr>
              <w:fldChar w:fldCharType="begin"/>
            </w:r>
            <w:r w:rsidR="001648E3">
              <w:rPr>
                <w:noProof/>
                <w:webHidden/>
              </w:rPr>
              <w:instrText xml:space="preserve"> PAGEREF _Toc43191137 \h </w:instrText>
            </w:r>
            <w:r w:rsidR="008E0353">
              <w:rPr>
                <w:noProof/>
                <w:webHidden/>
              </w:rPr>
            </w:r>
            <w:r w:rsidR="008E0353">
              <w:rPr>
                <w:noProof/>
                <w:webHidden/>
              </w:rPr>
              <w:fldChar w:fldCharType="separate"/>
            </w:r>
            <w:r w:rsidR="00996976">
              <w:rPr>
                <w:noProof/>
                <w:webHidden/>
              </w:rPr>
              <w:t>119</w:t>
            </w:r>
            <w:r w:rsidR="008E0353">
              <w:rPr>
                <w:noProof/>
                <w:webHidden/>
              </w:rPr>
              <w:fldChar w:fldCharType="end"/>
            </w:r>
          </w:hyperlink>
        </w:p>
        <w:p w:rsidR="001648E3" w:rsidRDefault="004D5B08">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_Toc43191138 \h </w:instrText>
            </w:r>
            <w:r w:rsidR="008E0353">
              <w:rPr>
                <w:noProof/>
                <w:webHidden/>
              </w:rPr>
            </w:r>
            <w:r w:rsidR="008E0353">
              <w:rPr>
                <w:noProof/>
                <w:webHidden/>
              </w:rPr>
              <w:fldChar w:fldCharType="separate"/>
            </w:r>
            <w:r w:rsidR="00996976">
              <w:rPr>
                <w:noProof/>
                <w:webHidden/>
              </w:rPr>
              <w:t>124</w:t>
            </w:r>
            <w:r w:rsidR="008E0353">
              <w:rPr>
                <w:noProof/>
                <w:webHidden/>
              </w:rPr>
              <w:fldChar w:fldCharType="end"/>
            </w:r>
          </w:hyperlink>
        </w:p>
        <w:p w:rsidR="001648E3" w:rsidRDefault="004D5B08">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8E0353">
              <w:rPr>
                <w:noProof/>
                <w:webHidden/>
              </w:rPr>
              <w:fldChar w:fldCharType="begin"/>
            </w:r>
            <w:r w:rsidR="001648E3">
              <w:rPr>
                <w:noProof/>
                <w:webHidden/>
              </w:rPr>
              <w:instrText xml:space="preserve"> PAGEREF _Toc43191139 \h </w:instrText>
            </w:r>
            <w:r w:rsidR="008E0353">
              <w:rPr>
                <w:noProof/>
                <w:webHidden/>
              </w:rPr>
            </w:r>
            <w:r w:rsidR="008E0353">
              <w:rPr>
                <w:noProof/>
                <w:webHidden/>
              </w:rPr>
              <w:fldChar w:fldCharType="separate"/>
            </w:r>
            <w:r w:rsidR="00996976">
              <w:rPr>
                <w:noProof/>
                <w:webHidden/>
              </w:rPr>
              <w:t>129</w:t>
            </w:r>
            <w:r w:rsidR="008E0353">
              <w:rPr>
                <w:noProof/>
                <w:webHidden/>
              </w:rPr>
              <w:fldChar w:fldCharType="end"/>
            </w:r>
          </w:hyperlink>
        </w:p>
        <w:p w:rsidR="001648E3" w:rsidRDefault="004D5B08">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_Toc43191140 \h </w:instrText>
            </w:r>
            <w:r w:rsidR="008E0353">
              <w:rPr>
                <w:noProof/>
                <w:webHidden/>
              </w:rPr>
            </w:r>
            <w:r w:rsidR="008E0353">
              <w:rPr>
                <w:noProof/>
                <w:webHidden/>
              </w:rPr>
              <w:fldChar w:fldCharType="separate"/>
            </w:r>
            <w:r w:rsidR="00996976">
              <w:rPr>
                <w:noProof/>
                <w:webHidden/>
              </w:rPr>
              <w:t>134</w:t>
            </w:r>
            <w:r w:rsidR="008E0353">
              <w:rPr>
                <w:noProof/>
                <w:webHidden/>
              </w:rPr>
              <w:fldChar w:fldCharType="end"/>
            </w:r>
          </w:hyperlink>
        </w:p>
        <w:p w:rsidR="001648E3" w:rsidRDefault="004D5B08">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8E0353">
              <w:rPr>
                <w:noProof/>
                <w:webHidden/>
              </w:rPr>
              <w:fldChar w:fldCharType="begin"/>
            </w:r>
            <w:r w:rsidR="001648E3">
              <w:rPr>
                <w:noProof/>
                <w:webHidden/>
              </w:rPr>
              <w:instrText xml:space="preserve"> PAGEREF _Toc43191141 \h </w:instrText>
            </w:r>
            <w:r w:rsidR="008E0353">
              <w:rPr>
                <w:noProof/>
                <w:webHidden/>
              </w:rPr>
            </w:r>
            <w:r w:rsidR="008E0353">
              <w:rPr>
                <w:noProof/>
                <w:webHidden/>
              </w:rPr>
              <w:fldChar w:fldCharType="separate"/>
            </w:r>
            <w:r w:rsidR="00996976">
              <w:rPr>
                <w:noProof/>
                <w:webHidden/>
              </w:rPr>
              <w:t>139</w:t>
            </w:r>
            <w:r w:rsidR="008E0353">
              <w:rPr>
                <w:noProof/>
                <w:webHidden/>
              </w:rPr>
              <w:fldChar w:fldCharType="end"/>
            </w:r>
          </w:hyperlink>
        </w:p>
        <w:p w:rsidR="001648E3" w:rsidRDefault="004D5B08">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8E0353">
              <w:rPr>
                <w:noProof/>
                <w:webHidden/>
              </w:rPr>
              <w:fldChar w:fldCharType="begin"/>
            </w:r>
            <w:r w:rsidR="001648E3">
              <w:rPr>
                <w:noProof/>
                <w:webHidden/>
              </w:rPr>
              <w:instrText xml:space="preserve"> PAGEREF _Toc43191142 \h </w:instrText>
            </w:r>
            <w:r w:rsidR="008E0353">
              <w:rPr>
                <w:noProof/>
                <w:webHidden/>
              </w:rPr>
            </w:r>
            <w:r w:rsidR="008E0353">
              <w:rPr>
                <w:noProof/>
                <w:webHidden/>
              </w:rPr>
              <w:fldChar w:fldCharType="separate"/>
            </w:r>
            <w:r w:rsidR="00996976">
              <w:rPr>
                <w:noProof/>
                <w:webHidden/>
              </w:rPr>
              <w:t>144</w:t>
            </w:r>
            <w:r w:rsidR="008E0353">
              <w:rPr>
                <w:noProof/>
                <w:webHidden/>
              </w:rPr>
              <w:fldChar w:fldCharType="end"/>
            </w:r>
          </w:hyperlink>
        </w:p>
        <w:p w:rsidR="001648E3" w:rsidRDefault="004D5B08">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8E0353">
              <w:rPr>
                <w:noProof/>
                <w:webHidden/>
              </w:rPr>
              <w:fldChar w:fldCharType="begin"/>
            </w:r>
            <w:r w:rsidR="001648E3">
              <w:rPr>
                <w:noProof/>
                <w:webHidden/>
              </w:rPr>
              <w:instrText xml:space="preserve"> PAGEREF _Toc43191143 \h </w:instrText>
            </w:r>
            <w:r w:rsidR="008E0353">
              <w:rPr>
                <w:noProof/>
                <w:webHidden/>
              </w:rPr>
            </w:r>
            <w:r w:rsidR="008E0353">
              <w:rPr>
                <w:noProof/>
                <w:webHidden/>
              </w:rPr>
              <w:fldChar w:fldCharType="separate"/>
            </w:r>
            <w:r w:rsidR="00996976">
              <w:rPr>
                <w:noProof/>
                <w:webHidden/>
              </w:rPr>
              <w:t>149</w:t>
            </w:r>
            <w:r w:rsidR="008E0353">
              <w:rPr>
                <w:noProof/>
                <w:webHidden/>
              </w:rPr>
              <w:fldChar w:fldCharType="end"/>
            </w:r>
          </w:hyperlink>
        </w:p>
        <w:p w:rsidR="001648E3" w:rsidRDefault="004D5B08">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8E0353">
              <w:rPr>
                <w:noProof/>
                <w:webHidden/>
              </w:rPr>
              <w:fldChar w:fldCharType="begin"/>
            </w:r>
            <w:r w:rsidR="001648E3">
              <w:rPr>
                <w:noProof/>
                <w:webHidden/>
              </w:rPr>
              <w:instrText xml:space="preserve"> PAGEREF _Toc43191144 \h </w:instrText>
            </w:r>
            <w:r w:rsidR="008E0353">
              <w:rPr>
                <w:noProof/>
                <w:webHidden/>
              </w:rPr>
            </w:r>
            <w:r w:rsidR="008E0353">
              <w:rPr>
                <w:noProof/>
                <w:webHidden/>
              </w:rPr>
              <w:fldChar w:fldCharType="separate"/>
            </w:r>
            <w:r w:rsidR="00996976">
              <w:rPr>
                <w:noProof/>
                <w:webHidden/>
              </w:rPr>
              <w:t>152</w:t>
            </w:r>
            <w:r w:rsidR="008E0353">
              <w:rPr>
                <w:noProof/>
                <w:webHidden/>
              </w:rPr>
              <w:fldChar w:fldCharType="end"/>
            </w:r>
          </w:hyperlink>
        </w:p>
        <w:p w:rsidR="001648E3" w:rsidRDefault="004D5B08">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8E0353">
              <w:rPr>
                <w:noProof/>
                <w:webHidden/>
              </w:rPr>
              <w:fldChar w:fldCharType="begin"/>
            </w:r>
            <w:r w:rsidR="001648E3">
              <w:rPr>
                <w:noProof/>
                <w:webHidden/>
              </w:rPr>
              <w:instrText xml:space="preserve"> PAGEREF _Toc43191145 \h </w:instrText>
            </w:r>
            <w:r w:rsidR="008E0353">
              <w:rPr>
                <w:noProof/>
                <w:webHidden/>
              </w:rPr>
            </w:r>
            <w:r w:rsidR="008E0353">
              <w:rPr>
                <w:noProof/>
                <w:webHidden/>
              </w:rPr>
              <w:fldChar w:fldCharType="separate"/>
            </w:r>
            <w:r w:rsidR="00996976">
              <w:rPr>
                <w:noProof/>
                <w:webHidden/>
              </w:rPr>
              <w:t>156</w:t>
            </w:r>
            <w:r w:rsidR="008E0353">
              <w:rPr>
                <w:noProof/>
                <w:webHidden/>
              </w:rPr>
              <w:fldChar w:fldCharType="end"/>
            </w:r>
          </w:hyperlink>
        </w:p>
        <w:p w:rsidR="001648E3" w:rsidRDefault="004D5B08">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8E0353">
              <w:rPr>
                <w:noProof/>
                <w:webHidden/>
              </w:rPr>
              <w:fldChar w:fldCharType="begin"/>
            </w:r>
            <w:r w:rsidR="001648E3">
              <w:rPr>
                <w:noProof/>
                <w:webHidden/>
              </w:rPr>
              <w:instrText xml:space="preserve"> PAGEREF _Toc43191146 \h </w:instrText>
            </w:r>
            <w:r w:rsidR="008E0353">
              <w:rPr>
                <w:noProof/>
                <w:webHidden/>
              </w:rPr>
            </w:r>
            <w:r w:rsidR="008E0353">
              <w:rPr>
                <w:noProof/>
                <w:webHidden/>
              </w:rPr>
              <w:fldChar w:fldCharType="separate"/>
            </w:r>
            <w:r w:rsidR="00996976">
              <w:rPr>
                <w:noProof/>
                <w:webHidden/>
              </w:rPr>
              <w:t>161</w:t>
            </w:r>
            <w:r w:rsidR="008E0353">
              <w:rPr>
                <w:noProof/>
                <w:webHidden/>
              </w:rPr>
              <w:fldChar w:fldCharType="end"/>
            </w:r>
          </w:hyperlink>
        </w:p>
        <w:p w:rsidR="001648E3" w:rsidRDefault="004D5B08">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8E0353">
              <w:rPr>
                <w:noProof/>
                <w:webHidden/>
              </w:rPr>
              <w:fldChar w:fldCharType="begin"/>
            </w:r>
            <w:r w:rsidR="001648E3">
              <w:rPr>
                <w:noProof/>
                <w:webHidden/>
              </w:rPr>
              <w:instrText xml:space="preserve"> PAGEREF _Toc43191147 \h </w:instrText>
            </w:r>
            <w:r w:rsidR="008E0353">
              <w:rPr>
                <w:noProof/>
                <w:webHidden/>
              </w:rPr>
            </w:r>
            <w:r w:rsidR="008E0353">
              <w:rPr>
                <w:noProof/>
                <w:webHidden/>
              </w:rPr>
              <w:fldChar w:fldCharType="separate"/>
            </w:r>
            <w:r w:rsidR="00996976">
              <w:rPr>
                <w:noProof/>
                <w:webHidden/>
              </w:rPr>
              <w:t>166</w:t>
            </w:r>
            <w:r w:rsidR="008E0353">
              <w:rPr>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8E0353">
              <w:rPr>
                <w:noProof/>
                <w:webHidden/>
              </w:rPr>
              <w:fldChar w:fldCharType="begin"/>
            </w:r>
            <w:r w:rsidR="001648E3">
              <w:rPr>
                <w:noProof/>
                <w:webHidden/>
              </w:rPr>
              <w:instrText xml:space="preserve"> PAGEREF _Toc43191148 \h </w:instrText>
            </w:r>
            <w:r w:rsidR="008E0353">
              <w:rPr>
                <w:noProof/>
                <w:webHidden/>
              </w:rPr>
            </w:r>
            <w:r w:rsidR="008E0353">
              <w:rPr>
                <w:noProof/>
                <w:webHidden/>
              </w:rPr>
              <w:fldChar w:fldCharType="separate"/>
            </w:r>
            <w:r w:rsidR="00996976">
              <w:rPr>
                <w:noProof/>
                <w:webHidden/>
              </w:rPr>
              <w:t>172</w:t>
            </w:r>
            <w:r w:rsidR="008E0353">
              <w:rPr>
                <w:noProof/>
                <w:webHidden/>
              </w:rPr>
              <w:fldChar w:fldCharType="end"/>
            </w:r>
          </w:hyperlink>
        </w:p>
        <w:p w:rsidR="001648E3" w:rsidRDefault="004D5B08">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8E0353">
              <w:rPr>
                <w:noProof/>
                <w:webHidden/>
              </w:rPr>
              <w:fldChar w:fldCharType="begin"/>
            </w:r>
            <w:r w:rsidR="001648E3">
              <w:rPr>
                <w:noProof/>
                <w:webHidden/>
              </w:rPr>
              <w:instrText xml:space="preserve"> PAGEREF _Toc43191149 \h </w:instrText>
            </w:r>
            <w:r w:rsidR="008E0353">
              <w:rPr>
                <w:noProof/>
                <w:webHidden/>
              </w:rPr>
            </w:r>
            <w:r w:rsidR="008E0353">
              <w:rPr>
                <w:noProof/>
                <w:webHidden/>
              </w:rPr>
              <w:fldChar w:fldCharType="separate"/>
            </w:r>
            <w:r w:rsidR="00996976">
              <w:rPr>
                <w:noProof/>
                <w:webHidden/>
              </w:rPr>
              <w:t>174</w:t>
            </w:r>
            <w:r w:rsidR="008E0353">
              <w:rPr>
                <w:noProof/>
                <w:webHidden/>
              </w:rPr>
              <w:fldChar w:fldCharType="end"/>
            </w:r>
          </w:hyperlink>
        </w:p>
        <w:p w:rsidR="001648E3" w:rsidRDefault="004D5B08">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8E0353">
              <w:rPr>
                <w:noProof/>
                <w:webHidden/>
              </w:rPr>
              <w:fldChar w:fldCharType="begin"/>
            </w:r>
            <w:r w:rsidR="001648E3">
              <w:rPr>
                <w:noProof/>
                <w:webHidden/>
              </w:rPr>
              <w:instrText xml:space="preserve"> PAGEREF _Toc43191150 \h </w:instrText>
            </w:r>
            <w:r w:rsidR="008E0353">
              <w:rPr>
                <w:noProof/>
                <w:webHidden/>
              </w:rPr>
            </w:r>
            <w:r w:rsidR="008E0353">
              <w:rPr>
                <w:noProof/>
                <w:webHidden/>
              </w:rPr>
              <w:fldChar w:fldCharType="separate"/>
            </w:r>
            <w:r w:rsidR="00996976">
              <w:rPr>
                <w:noProof/>
                <w:webHidden/>
              </w:rPr>
              <w:t>178</w:t>
            </w:r>
            <w:r w:rsidR="008E0353">
              <w:rPr>
                <w:noProof/>
                <w:webHidden/>
              </w:rPr>
              <w:fldChar w:fldCharType="end"/>
            </w:r>
          </w:hyperlink>
        </w:p>
        <w:p w:rsidR="001648E3" w:rsidRDefault="004D5B08">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8E0353">
              <w:rPr>
                <w:noProof/>
                <w:webHidden/>
              </w:rPr>
              <w:fldChar w:fldCharType="begin"/>
            </w:r>
            <w:r w:rsidR="001648E3">
              <w:rPr>
                <w:noProof/>
                <w:webHidden/>
              </w:rPr>
              <w:instrText xml:space="preserve"> PAGEREF _Toc43191151 \h </w:instrText>
            </w:r>
            <w:r w:rsidR="008E0353">
              <w:rPr>
                <w:noProof/>
                <w:webHidden/>
              </w:rPr>
            </w:r>
            <w:r w:rsidR="008E0353">
              <w:rPr>
                <w:noProof/>
                <w:webHidden/>
              </w:rPr>
              <w:fldChar w:fldCharType="separate"/>
            </w:r>
            <w:r w:rsidR="00996976">
              <w:rPr>
                <w:noProof/>
                <w:webHidden/>
              </w:rPr>
              <w:t>182</w:t>
            </w:r>
            <w:r w:rsidR="008E0353">
              <w:rPr>
                <w:noProof/>
                <w:webHidden/>
              </w:rPr>
              <w:fldChar w:fldCharType="end"/>
            </w:r>
          </w:hyperlink>
        </w:p>
        <w:p w:rsidR="001648E3" w:rsidRDefault="004D5B08">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8E0353">
              <w:rPr>
                <w:noProof/>
                <w:webHidden/>
              </w:rPr>
              <w:fldChar w:fldCharType="begin"/>
            </w:r>
            <w:r w:rsidR="001648E3">
              <w:rPr>
                <w:noProof/>
                <w:webHidden/>
              </w:rPr>
              <w:instrText xml:space="preserve"> PAGEREF _Toc43191152 \h </w:instrText>
            </w:r>
            <w:r w:rsidR="008E0353">
              <w:rPr>
                <w:noProof/>
                <w:webHidden/>
              </w:rPr>
            </w:r>
            <w:r w:rsidR="008E0353">
              <w:rPr>
                <w:noProof/>
                <w:webHidden/>
              </w:rPr>
              <w:fldChar w:fldCharType="separate"/>
            </w:r>
            <w:r w:rsidR="00996976">
              <w:rPr>
                <w:noProof/>
                <w:webHidden/>
              </w:rPr>
              <w:t>185</w:t>
            </w:r>
            <w:r w:rsidR="008E0353">
              <w:rPr>
                <w:noProof/>
                <w:webHidden/>
              </w:rPr>
              <w:fldChar w:fldCharType="end"/>
            </w:r>
          </w:hyperlink>
        </w:p>
        <w:p w:rsidR="001648E3" w:rsidRDefault="004D5B08">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8E0353">
              <w:rPr>
                <w:noProof/>
                <w:webHidden/>
              </w:rPr>
              <w:fldChar w:fldCharType="begin"/>
            </w:r>
            <w:r w:rsidR="001648E3">
              <w:rPr>
                <w:noProof/>
                <w:webHidden/>
              </w:rPr>
              <w:instrText xml:space="preserve"> PAGEREF _Toc43191153 \h </w:instrText>
            </w:r>
            <w:r w:rsidR="008E0353">
              <w:rPr>
                <w:noProof/>
                <w:webHidden/>
              </w:rPr>
            </w:r>
            <w:r w:rsidR="008E0353">
              <w:rPr>
                <w:noProof/>
                <w:webHidden/>
              </w:rPr>
              <w:fldChar w:fldCharType="separate"/>
            </w:r>
            <w:r w:rsidR="00996976">
              <w:rPr>
                <w:noProof/>
                <w:webHidden/>
              </w:rPr>
              <w:t>189</w:t>
            </w:r>
            <w:r w:rsidR="008E0353">
              <w:rPr>
                <w:noProof/>
                <w:webHidden/>
              </w:rPr>
              <w:fldChar w:fldCharType="end"/>
            </w:r>
          </w:hyperlink>
        </w:p>
        <w:p w:rsidR="001648E3" w:rsidRDefault="004D5B08">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8E0353">
              <w:rPr>
                <w:noProof/>
                <w:webHidden/>
              </w:rPr>
              <w:fldChar w:fldCharType="begin"/>
            </w:r>
            <w:r w:rsidR="001648E3">
              <w:rPr>
                <w:noProof/>
                <w:webHidden/>
              </w:rPr>
              <w:instrText xml:space="preserve"> PAGEREF _Toc43191154 \h </w:instrText>
            </w:r>
            <w:r w:rsidR="008E0353">
              <w:rPr>
                <w:noProof/>
                <w:webHidden/>
              </w:rPr>
            </w:r>
            <w:r w:rsidR="008E0353">
              <w:rPr>
                <w:noProof/>
                <w:webHidden/>
              </w:rPr>
              <w:fldChar w:fldCharType="separate"/>
            </w:r>
            <w:r w:rsidR="00996976">
              <w:rPr>
                <w:noProof/>
                <w:webHidden/>
              </w:rPr>
              <w:t>192</w:t>
            </w:r>
            <w:r w:rsidR="008E0353">
              <w:rPr>
                <w:noProof/>
                <w:webHidden/>
              </w:rPr>
              <w:fldChar w:fldCharType="end"/>
            </w:r>
          </w:hyperlink>
        </w:p>
        <w:p w:rsidR="001648E3" w:rsidRDefault="004D5B08">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8E0353">
              <w:rPr>
                <w:noProof/>
                <w:webHidden/>
              </w:rPr>
              <w:fldChar w:fldCharType="begin"/>
            </w:r>
            <w:r w:rsidR="001648E3">
              <w:rPr>
                <w:noProof/>
                <w:webHidden/>
              </w:rPr>
              <w:instrText xml:space="preserve"> PAGEREF _Toc43191155 \h </w:instrText>
            </w:r>
            <w:r w:rsidR="008E0353">
              <w:rPr>
                <w:noProof/>
                <w:webHidden/>
              </w:rPr>
            </w:r>
            <w:r w:rsidR="008E0353">
              <w:rPr>
                <w:noProof/>
                <w:webHidden/>
              </w:rPr>
              <w:fldChar w:fldCharType="separate"/>
            </w:r>
            <w:r w:rsidR="00996976">
              <w:rPr>
                <w:noProof/>
                <w:webHidden/>
              </w:rPr>
              <w:t>196</w:t>
            </w:r>
            <w:r w:rsidR="008E0353">
              <w:rPr>
                <w:noProof/>
                <w:webHidden/>
              </w:rPr>
              <w:fldChar w:fldCharType="end"/>
            </w:r>
          </w:hyperlink>
        </w:p>
        <w:p w:rsidR="001648E3" w:rsidRDefault="004D5B08">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8E0353">
              <w:rPr>
                <w:noProof/>
                <w:webHidden/>
              </w:rPr>
              <w:fldChar w:fldCharType="begin"/>
            </w:r>
            <w:r w:rsidR="001648E3">
              <w:rPr>
                <w:noProof/>
                <w:webHidden/>
              </w:rPr>
              <w:instrText xml:space="preserve"> PAGEREF _Toc43191156 \h </w:instrText>
            </w:r>
            <w:r w:rsidR="008E0353">
              <w:rPr>
                <w:noProof/>
                <w:webHidden/>
              </w:rPr>
            </w:r>
            <w:r w:rsidR="008E0353">
              <w:rPr>
                <w:noProof/>
                <w:webHidden/>
              </w:rPr>
              <w:fldChar w:fldCharType="separate"/>
            </w:r>
            <w:r w:rsidR="00996976">
              <w:rPr>
                <w:noProof/>
                <w:webHidden/>
              </w:rPr>
              <w:t>201</w:t>
            </w:r>
            <w:r w:rsidR="008E0353">
              <w:rPr>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8E0353">
              <w:rPr>
                <w:noProof/>
                <w:webHidden/>
              </w:rPr>
              <w:fldChar w:fldCharType="begin"/>
            </w:r>
            <w:r w:rsidR="001648E3">
              <w:rPr>
                <w:noProof/>
                <w:webHidden/>
              </w:rPr>
              <w:instrText xml:space="preserve"> PAGEREF _Toc43191157 \h </w:instrText>
            </w:r>
            <w:r w:rsidR="008E0353">
              <w:rPr>
                <w:noProof/>
                <w:webHidden/>
              </w:rPr>
            </w:r>
            <w:r w:rsidR="008E0353">
              <w:rPr>
                <w:noProof/>
                <w:webHidden/>
              </w:rPr>
              <w:fldChar w:fldCharType="separate"/>
            </w:r>
            <w:r w:rsidR="00996976">
              <w:rPr>
                <w:noProof/>
                <w:webHidden/>
              </w:rPr>
              <w:t>206</w:t>
            </w:r>
            <w:r w:rsidR="008E0353">
              <w:rPr>
                <w:noProof/>
                <w:webHidden/>
              </w:rPr>
              <w:fldChar w:fldCharType="end"/>
            </w:r>
          </w:hyperlink>
        </w:p>
        <w:p w:rsidR="001648E3" w:rsidRDefault="004D5B08">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8E0353">
              <w:rPr>
                <w:noProof/>
                <w:webHidden/>
              </w:rPr>
              <w:fldChar w:fldCharType="begin"/>
            </w:r>
            <w:r w:rsidR="001648E3">
              <w:rPr>
                <w:noProof/>
                <w:webHidden/>
              </w:rPr>
              <w:instrText xml:space="preserve"> PAGEREF _Toc43191158 \h </w:instrText>
            </w:r>
            <w:r w:rsidR="008E0353">
              <w:rPr>
                <w:noProof/>
                <w:webHidden/>
              </w:rPr>
            </w:r>
            <w:r w:rsidR="008E0353">
              <w:rPr>
                <w:noProof/>
                <w:webHidden/>
              </w:rPr>
              <w:fldChar w:fldCharType="separate"/>
            </w:r>
            <w:r w:rsidR="00996976">
              <w:rPr>
                <w:noProof/>
                <w:webHidden/>
              </w:rPr>
              <w:t>208</w:t>
            </w:r>
            <w:r w:rsidR="008E0353">
              <w:rPr>
                <w:noProof/>
                <w:webHidden/>
              </w:rPr>
              <w:fldChar w:fldCharType="end"/>
            </w:r>
          </w:hyperlink>
        </w:p>
        <w:p w:rsidR="001648E3" w:rsidRDefault="004D5B08">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8E0353">
              <w:rPr>
                <w:noProof/>
                <w:webHidden/>
              </w:rPr>
              <w:fldChar w:fldCharType="begin"/>
            </w:r>
            <w:r w:rsidR="001648E3">
              <w:rPr>
                <w:noProof/>
                <w:webHidden/>
              </w:rPr>
              <w:instrText xml:space="preserve"> PAGEREF _Toc43191159 \h </w:instrText>
            </w:r>
            <w:r w:rsidR="008E0353">
              <w:rPr>
                <w:noProof/>
                <w:webHidden/>
              </w:rPr>
            </w:r>
            <w:r w:rsidR="008E0353">
              <w:rPr>
                <w:noProof/>
                <w:webHidden/>
              </w:rPr>
              <w:fldChar w:fldCharType="separate"/>
            </w:r>
            <w:r w:rsidR="00996976">
              <w:rPr>
                <w:noProof/>
                <w:webHidden/>
              </w:rPr>
              <w:t>212</w:t>
            </w:r>
            <w:r w:rsidR="008E0353">
              <w:rPr>
                <w:noProof/>
                <w:webHidden/>
              </w:rPr>
              <w:fldChar w:fldCharType="end"/>
            </w:r>
          </w:hyperlink>
        </w:p>
        <w:p w:rsidR="001648E3" w:rsidRDefault="004D5B08">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8E0353">
              <w:rPr>
                <w:noProof/>
                <w:webHidden/>
              </w:rPr>
              <w:fldChar w:fldCharType="begin"/>
            </w:r>
            <w:r w:rsidR="001648E3">
              <w:rPr>
                <w:noProof/>
                <w:webHidden/>
              </w:rPr>
              <w:instrText xml:space="preserve"> PAGEREF _Toc43191160 \h </w:instrText>
            </w:r>
            <w:r w:rsidR="008E0353">
              <w:rPr>
                <w:noProof/>
                <w:webHidden/>
              </w:rPr>
            </w:r>
            <w:r w:rsidR="008E0353">
              <w:rPr>
                <w:noProof/>
                <w:webHidden/>
              </w:rPr>
              <w:fldChar w:fldCharType="separate"/>
            </w:r>
            <w:r w:rsidR="00996976">
              <w:rPr>
                <w:noProof/>
                <w:webHidden/>
              </w:rPr>
              <w:t>216</w:t>
            </w:r>
            <w:r w:rsidR="008E0353">
              <w:rPr>
                <w:noProof/>
                <w:webHidden/>
              </w:rPr>
              <w:fldChar w:fldCharType="end"/>
            </w:r>
          </w:hyperlink>
        </w:p>
        <w:p w:rsidR="001648E3" w:rsidRDefault="004D5B08">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8E0353">
              <w:rPr>
                <w:noProof/>
                <w:webHidden/>
              </w:rPr>
              <w:fldChar w:fldCharType="begin"/>
            </w:r>
            <w:r w:rsidR="001648E3">
              <w:rPr>
                <w:noProof/>
                <w:webHidden/>
              </w:rPr>
              <w:instrText xml:space="preserve"> PAGEREF _Toc43191161 \h </w:instrText>
            </w:r>
            <w:r w:rsidR="008E0353">
              <w:rPr>
                <w:noProof/>
                <w:webHidden/>
              </w:rPr>
            </w:r>
            <w:r w:rsidR="008E0353">
              <w:rPr>
                <w:noProof/>
                <w:webHidden/>
              </w:rPr>
              <w:fldChar w:fldCharType="separate"/>
            </w:r>
            <w:r w:rsidR="00996976">
              <w:rPr>
                <w:noProof/>
                <w:webHidden/>
              </w:rPr>
              <w:t>220</w:t>
            </w:r>
            <w:r w:rsidR="008E0353">
              <w:rPr>
                <w:noProof/>
                <w:webHidden/>
              </w:rPr>
              <w:fldChar w:fldCharType="end"/>
            </w:r>
          </w:hyperlink>
        </w:p>
        <w:p w:rsidR="001648E3" w:rsidRDefault="004D5B08">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8E0353">
              <w:rPr>
                <w:noProof/>
                <w:webHidden/>
              </w:rPr>
              <w:fldChar w:fldCharType="begin"/>
            </w:r>
            <w:r w:rsidR="001648E3">
              <w:rPr>
                <w:noProof/>
                <w:webHidden/>
              </w:rPr>
              <w:instrText xml:space="preserve"> PAGEREF _Toc43191162 \h </w:instrText>
            </w:r>
            <w:r w:rsidR="008E0353">
              <w:rPr>
                <w:noProof/>
                <w:webHidden/>
              </w:rPr>
            </w:r>
            <w:r w:rsidR="008E0353">
              <w:rPr>
                <w:noProof/>
                <w:webHidden/>
              </w:rPr>
              <w:fldChar w:fldCharType="separate"/>
            </w:r>
            <w:r w:rsidR="00996976">
              <w:rPr>
                <w:noProof/>
                <w:webHidden/>
              </w:rPr>
              <w:t>224</w:t>
            </w:r>
            <w:r w:rsidR="008E0353">
              <w:rPr>
                <w:noProof/>
                <w:webHidden/>
              </w:rPr>
              <w:fldChar w:fldCharType="end"/>
            </w:r>
          </w:hyperlink>
        </w:p>
        <w:p w:rsidR="001648E3" w:rsidRDefault="004D5B08">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8E0353">
              <w:rPr>
                <w:noProof/>
                <w:webHidden/>
              </w:rPr>
              <w:fldChar w:fldCharType="begin"/>
            </w:r>
            <w:r w:rsidR="001648E3">
              <w:rPr>
                <w:noProof/>
                <w:webHidden/>
              </w:rPr>
              <w:instrText xml:space="preserve"> PAGEREF _Toc43191163 \h </w:instrText>
            </w:r>
            <w:r w:rsidR="008E0353">
              <w:rPr>
                <w:noProof/>
                <w:webHidden/>
              </w:rPr>
            </w:r>
            <w:r w:rsidR="008E0353">
              <w:rPr>
                <w:noProof/>
                <w:webHidden/>
              </w:rPr>
              <w:fldChar w:fldCharType="separate"/>
            </w:r>
            <w:r w:rsidR="00996976">
              <w:rPr>
                <w:noProof/>
                <w:webHidden/>
              </w:rPr>
              <w:t>228</w:t>
            </w:r>
            <w:r w:rsidR="008E0353">
              <w:rPr>
                <w:noProof/>
                <w:webHidden/>
              </w:rPr>
              <w:fldChar w:fldCharType="end"/>
            </w:r>
          </w:hyperlink>
        </w:p>
        <w:p w:rsidR="001648E3" w:rsidRDefault="004D5B08">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8E0353">
              <w:rPr>
                <w:noProof/>
                <w:webHidden/>
              </w:rPr>
              <w:fldChar w:fldCharType="begin"/>
            </w:r>
            <w:r w:rsidR="001648E3">
              <w:rPr>
                <w:noProof/>
                <w:webHidden/>
              </w:rPr>
              <w:instrText xml:space="preserve"> PAGEREF _Toc43191164 \h </w:instrText>
            </w:r>
            <w:r w:rsidR="008E0353">
              <w:rPr>
                <w:noProof/>
                <w:webHidden/>
              </w:rPr>
            </w:r>
            <w:r w:rsidR="008E0353">
              <w:rPr>
                <w:noProof/>
                <w:webHidden/>
              </w:rPr>
              <w:fldChar w:fldCharType="separate"/>
            </w:r>
            <w:r w:rsidR="00996976">
              <w:rPr>
                <w:noProof/>
                <w:webHidden/>
              </w:rPr>
              <w:t>232</w:t>
            </w:r>
            <w:r w:rsidR="008E0353">
              <w:rPr>
                <w:noProof/>
                <w:webHidden/>
              </w:rPr>
              <w:fldChar w:fldCharType="end"/>
            </w:r>
          </w:hyperlink>
        </w:p>
        <w:p w:rsidR="001648E3" w:rsidRDefault="004D5B08">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8E0353">
              <w:rPr>
                <w:noProof/>
                <w:webHidden/>
              </w:rPr>
              <w:fldChar w:fldCharType="begin"/>
            </w:r>
            <w:r w:rsidR="001648E3">
              <w:rPr>
                <w:noProof/>
                <w:webHidden/>
              </w:rPr>
              <w:instrText xml:space="preserve"> PAGEREF _Toc43191165 \h </w:instrText>
            </w:r>
            <w:r w:rsidR="008E0353">
              <w:rPr>
                <w:noProof/>
                <w:webHidden/>
              </w:rPr>
            </w:r>
            <w:r w:rsidR="008E0353">
              <w:rPr>
                <w:noProof/>
                <w:webHidden/>
              </w:rPr>
              <w:fldChar w:fldCharType="separate"/>
            </w:r>
            <w:r w:rsidR="00996976">
              <w:rPr>
                <w:noProof/>
                <w:webHidden/>
              </w:rPr>
              <w:t>235</w:t>
            </w:r>
            <w:r w:rsidR="008E0353">
              <w:rPr>
                <w:noProof/>
                <w:webHidden/>
              </w:rPr>
              <w:fldChar w:fldCharType="end"/>
            </w:r>
          </w:hyperlink>
        </w:p>
        <w:p w:rsidR="001648E3" w:rsidRDefault="004D5B08">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8E0353">
              <w:rPr>
                <w:noProof/>
                <w:webHidden/>
              </w:rPr>
              <w:fldChar w:fldCharType="begin"/>
            </w:r>
            <w:r w:rsidR="001648E3">
              <w:rPr>
                <w:noProof/>
                <w:webHidden/>
              </w:rPr>
              <w:instrText xml:space="preserve"> PAGEREF _Toc43191166 \h </w:instrText>
            </w:r>
            <w:r w:rsidR="008E0353">
              <w:rPr>
                <w:noProof/>
                <w:webHidden/>
              </w:rPr>
            </w:r>
            <w:r w:rsidR="008E0353">
              <w:rPr>
                <w:noProof/>
                <w:webHidden/>
              </w:rPr>
              <w:fldChar w:fldCharType="separate"/>
            </w:r>
            <w:r w:rsidR="00996976">
              <w:rPr>
                <w:noProof/>
                <w:webHidden/>
              </w:rPr>
              <w:t>239</w:t>
            </w:r>
            <w:r w:rsidR="008E0353">
              <w:rPr>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8E0353">
              <w:rPr>
                <w:noProof/>
                <w:webHidden/>
              </w:rPr>
              <w:fldChar w:fldCharType="begin"/>
            </w:r>
            <w:r w:rsidR="001648E3">
              <w:rPr>
                <w:noProof/>
                <w:webHidden/>
              </w:rPr>
              <w:instrText xml:space="preserve"> PAGEREF _Toc43191167 \h </w:instrText>
            </w:r>
            <w:r w:rsidR="008E0353">
              <w:rPr>
                <w:noProof/>
                <w:webHidden/>
              </w:rPr>
            </w:r>
            <w:r w:rsidR="008E0353">
              <w:rPr>
                <w:noProof/>
                <w:webHidden/>
              </w:rPr>
              <w:fldChar w:fldCharType="separate"/>
            </w:r>
            <w:r w:rsidR="00996976">
              <w:rPr>
                <w:noProof/>
                <w:webHidden/>
              </w:rPr>
              <w:t>244</w:t>
            </w:r>
            <w:r w:rsidR="008E0353">
              <w:rPr>
                <w:noProof/>
                <w:webHidden/>
              </w:rPr>
              <w:fldChar w:fldCharType="end"/>
            </w:r>
          </w:hyperlink>
        </w:p>
        <w:p w:rsidR="001648E3" w:rsidRDefault="004D5B08">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8E0353">
              <w:rPr>
                <w:noProof/>
                <w:webHidden/>
              </w:rPr>
              <w:fldChar w:fldCharType="begin"/>
            </w:r>
            <w:r w:rsidR="001648E3">
              <w:rPr>
                <w:noProof/>
                <w:webHidden/>
              </w:rPr>
              <w:instrText xml:space="preserve"> PAGEREF _Toc43191168 \h </w:instrText>
            </w:r>
            <w:r w:rsidR="008E0353">
              <w:rPr>
                <w:noProof/>
                <w:webHidden/>
              </w:rPr>
            </w:r>
            <w:r w:rsidR="008E0353">
              <w:rPr>
                <w:noProof/>
                <w:webHidden/>
              </w:rPr>
              <w:fldChar w:fldCharType="separate"/>
            </w:r>
            <w:r w:rsidR="00996976">
              <w:rPr>
                <w:noProof/>
                <w:webHidden/>
              </w:rPr>
              <w:t>246</w:t>
            </w:r>
            <w:r w:rsidR="008E0353">
              <w:rPr>
                <w:noProof/>
                <w:webHidden/>
              </w:rPr>
              <w:fldChar w:fldCharType="end"/>
            </w:r>
          </w:hyperlink>
        </w:p>
        <w:p w:rsidR="001648E3" w:rsidRDefault="004D5B08">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8E0353">
              <w:rPr>
                <w:noProof/>
                <w:webHidden/>
              </w:rPr>
              <w:fldChar w:fldCharType="begin"/>
            </w:r>
            <w:r w:rsidR="001648E3">
              <w:rPr>
                <w:noProof/>
                <w:webHidden/>
              </w:rPr>
              <w:instrText xml:space="preserve"> PAGEREF _Toc43191169 \h </w:instrText>
            </w:r>
            <w:r w:rsidR="008E0353">
              <w:rPr>
                <w:noProof/>
                <w:webHidden/>
              </w:rPr>
            </w:r>
            <w:r w:rsidR="008E0353">
              <w:rPr>
                <w:noProof/>
                <w:webHidden/>
              </w:rPr>
              <w:fldChar w:fldCharType="separate"/>
            </w:r>
            <w:r w:rsidR="00996976">
              <w:rPr>
                <w:noProof/>
                <w:webHidden/>
              </w:rPr>
              <w:t>250</w:t>
            </w:r>
            <w:r w:rsidR="008E0353">
              <w:rPr>
                <w:noProof/>
                <w:webHidden/>
              </w:rPr>
              <w:fldChar w:fldCharType="end"/>
            </w:r>
          </w:hyperlink>
        </w:p>
        <w:p w:rsidR="001648E3" w:rsidRDefault="004D5B08">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8E0353">
              <w:rPr>
                <w:noProof/>
                <w:webHidden/>
              </w:rPr>
              <w:fldChar w:fldCharType="begin"/>
            </w:r>
            <w:r w:rsidR="001648E3">
              <w:rPr>
                <w:noProof/>
                <w:webHidden/>
              </w:rPr>
              <w:instrText xml:space="preserve"> PAGEREF _Toc43191170 \h </w:instrText>
            </w:r>
            <w:r w:rsidR="008E0353">
              <w:rPr>
                <w:noProof/>
                <w:webHidden/>
              </w:rPr>
            </w:r>
            <w:r w:rsidR="008E0353">
              <w:rPr>
                <w:noProof/>
                <w:webHidden/>
              </w:rPr>
              <w:fldChar w:fldCharType="separate"/>
            </w:r>
            <w:r w:rsidR="00996976">
              <w:rPr>
                <w:noProof/>
                <w:webHidden/>
              </w:rPr>
              <w:t>254</w:t>
            </w:r>
            <w:r w:rsidR="008E0353">
              <w:rPr>
                <w:noProof/>
                <w:webHidden/>
              </w:rPr>
              <w:fldChar w:fldCharType="end"/>
            </w:r>
          </w:hyperlink>
        </w:p>
        <w:p w:rsidR="001648E3" w:rsidRDefault="004D5B08">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8E0353">
              <w:rPr>
                <w:noProof/>
                <w:webHidden/>
              </w:rPr>
              <w:fldChar w:fldCharType="begin"/>
            </w:r>
            <w:r w:rsidR="001648E3">
              <w:rPr>
                <w:noProof/>
                <w:webHidden/>
              </w:rPr>
              <w:instrText xml:space="preserve"> PAGEREF _Toc43191171 \h </w:instrText>
            </w:r>
            <w:r w:rsidR="008E0353">
              <w:rPr>
                <w:noProof/>
                <w:webHidden/>
              </w:rPr>
            </w:r>
            <w:r w:rsidR="008E0353">
              <w:rPr>
                <w:noProof/>
                <w:webHidden/>
              </w:rPr>
              <w:fldChar w:fldCharType="separate"/>
            </w:r>
            <w:r w:rsidR="00996976">
              <w:rPr>
                <w:noProof/>
                <w:webHidden/>
              </w:rPr>
              <w:t>258</w:t>
            </w:r>
            <w:r w:rsidR="008E0353">
              <w:rPr>
                <w:noProof/>
                <w:webHidden/>
              </w:rPr>
              <w:fldChar w:fldCharType="end"/>
            </w:r>
          </w:hyperlink>
        </w:p>
        <w:p w:rsidR="001648E3" w:rsidRDefault="004D5B08">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8E0353">
              <w:rPr>
                <w:noProof/>
                <w:webHidden/>
              </w:rPr>
              <w:fldChar w:fldCharType="begin"/>
            </w:r>
            <w:r w:rsidR="001648E3">
              <w:rPr>
                <w:noProof/>
                <w:webHidden/>
              </w:rPr>
              <w:instrText xml:space="preserve"> PAGEREF _Toc43191172 \h </w:instrText>
            </w:r>
            <w:r w:rsidR="008E0353">
              <w:rPr>
                <w:noProof/>
                <w:webHidden/>
              </w:rPr>
            </w:r>
            <w:r w:rsidR="008E0353">
              <w:rPr>
                <w:noProof/>
                <w:webHidden/>
              </w:rPr>
              <w:fldChar w:fldCharType="separate"/>
            </w:r>
            <w:r w:rsidR="00996976">
              <w:rPr>
                <w:noProof/>
                <w:webHidden/>
              </w:rPr>
              <w:t>262</w:t>
            </w:r>
            <w:r w:rsidR="008E0353">
              <w:rPr>
                <w:noProof/>
                <w:webHidden/>
              </w:rPr>
              <w:fldChar w:fldCharType="end"/>
            </w:r>
          </w:hyperlink>
        </w:p>
        <w:p w:rsidR="001648E3" w:rsidRDefault="004D5B08">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8E0353">
              <w:rPr>
                <w:noProof/>
                <w:webHidden/>
              </w:rPr>
              <w:fldChar w:fldCharType="begin"/>
            </w:r>
            <w:r w:rsidR="001648E3">
              <w:rPr>
                <w:noProof/>
                <w:webHidden/>
              </w:rPr>
              <w:instrText xml:space="preserve"> PAGEREF _Toc43191173 \h </w:instrText>
            </w:r>
            <w:r w:rsidR="008E0353">
              <w:rPr>
                <w:noProof/>
                <w:webHidden/>
              </w:rPr>
            </w:r>
            <w:r w:rsidR="008E0353">
              <w:rPr>
                <w:noProof/>
                <w:webHidden/>
              </w:rPr>
              <w:fldChar w:fldCharType="separate"/>
            </w:r>
            <w:r w:rsidR="00996976">
              <w:rPr>
                <w:noProof/>
                <w:webHidden/>
              </w:rPr>
              <w:t>266</w:t>
            </w:r>
            <w:r w:rsidR="008E0353">
              <w:rPr>
                <w:noProof/>
                <w:webHidden/>
              </w:rPr>
              <w:fldChar w:fldCharType="end"/>
            </w:r>
          </w:hyperlink>
        </w:p>
        <w:p w:rsidR="001648E3" w:rsidRDefault="004D5B08">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8E0353">
              <w:rPr>
                <w:noProof/>
                <w:webHidden/>
              </w:rPr>
              <w:fldChar w:fldCharType="begin"/>
            </w:r>
            <w:r w:rsidR="001648E3">
              <w:rPr>
                <w:noProof/>
                <w:webHidden/>
              </w:rPr>
              <w:instrText xml:space="preserve"> PAGEREF _Toc43191174 \h </w:instrText>
            </w:r>
            <w:r w:rsidR="008E0353">
              <w:rPr>
                <w:noProof/>
                <w:webHidden/>
              </w:rPr>
            </w:r>
            <w:r w:rsidR="008E0353">
              <w:rPr>
                <w:noProof/>
                <w:webHidden/>
              </w:rPr>
              <w:fldChar w:fldCharType="separate"/>
            </w:r>
            <w:r w:rsidR="00996976">
              <w:rPr>
                <w:noProof/>
                <w:webHidden/>
              </w:rPr>
              <w:t>269</w:t>
            </w:r>
            <w:r w:rsidR="008E0353">
              <w:rPr>
                <w:noProof/>
                <w:webHidden/>
              </w:rPr>
              <w:fldChar w:fldCharType="end"/>
            </w:r>
          </w:hyperlink>
        </w:p>
        <w:p w:rsidR="001648E3" w:rsidRDefault="004D5B08">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8E0353">
              <w:rPr>
                <w:noProof/>
                <w:webHidden/>
              </w:rPr>
              <w:fldChar w:fldCharType="begin"/>
            </w:r>
            <w:r w:rsidR="001648E3">
              <w:rPr>
                <w:noProof/>
                <w:webHidden/>
              </w:rPr>
              <w:instrText xml:space="preserve"> PAGEREF _Toc43191175 \h </w:instrText>
            </w:r>
            <w:r w:rsidR="008E0353">
              <w:rPr>
                <w:noProof/>
                <w:webHidden/>
              </w:rPr>
            </w:r>
            <w:r w:rsidR="008E0353">
              <w:rPr>
                <w:noProof/>
                <w:webHidden/>
              </w:rPr>
              <w:fldChar w:fldCharType="separate"/>
            </w:r>
            <w:r w:rsidR="00996976">
              <w:rPr>
                <w:noProof/>
                <w:webHidden/>
              </w:rPr>
              <w:t>274</w:t>
            </w:r>
            <w:r w:rsidR="008E0353">
              <w:rPr>
                <w:noProof/>
                <w:webHidden/>
              </w:rPr>
              <w:fldChar w:fldCharType="end"/>
            </w:r>
          </w:hyperlink>
        </w:p>
        <w:p w:rsidR="001648E3" w:rsidRDefault="004D5B08">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8E0353">
              <w:rPr>
                <w:noProof/>
                <w:webHidden/>
              </w:rPr>
              <w:fldChar w:fldCharType="begin"/>
            </w:r>
            <w:r w:rsidR="001648E3">
              <w:rPr>
                <w:noProof/>
                <w:webHidden/>
              </w:rPr>
              <w:instrText xml:space="preserve"> PAGEREF _Toc43191176 \h </w:instrText>
            </w:r>
            <w:r w:rsidR="008E0353">
              <w:rPr>
                <w:noProof/>
                <w:webHidden/>
              </w:rPr>
            </w:r>
            <w:r w:rsidR="008E0353">
              <w:rPr>
                <w:noProof/>
                <w:webHidden/>
              </w:rPr>
              <w:fldChar w:fldCharType="separate"/>
            </w:r>
            <w:r w:rsidR="00996976">
              <w:rPr>
                <w:noProof/>
                <w:webHidden/>
              </w:rPr>
              <w:t>276</w:t>
            </w:r>
            <w:r w:rsidR="008E0353">
              <w:rPr>
                <w:noProof/>
                <w:webHidden/>
              </w:rPr>
              <w:fldChar w:fldCharType="end"/>
            </w:r>
          </w:hyperlink>
        </w:p>
        <w:p w:rsidR="001648E3" w:rsidRDefault="004D5B08">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8E0353">
              <w:rPr>
                <w:noProof/>
                <w:webHidden/>
              </w:rPr>
              <w:fldChar w:fldCharType="begin"/>
            </w:r>
            <w:r w:rsidR="001648E3">
              <w:rPr>
                <w:noProof/>
                <w:webHidden/>
              </w:rPr>
              <w:instrText xml:space="preserve"> PAGEREF _Toc43191177 \h </w:instrText>
            </w:r>
            <w:r w:rsidR="008E0353">
              <w:rPr>
                <w:noProof/>
                <w:webHidden/>
              </w:rPr>
            </w:r>
            <w:r w:rsidR="008E0353">
              <w:rPr>
                <w:noProof/>
                <w:webHidden/>
              </w:rPr>
              <w:fldChar w:fldCharType="separate"/>
            </w:r>
            <w:r w:rsidR="00996976">
              <w:rPr>
                <w:noProof/>
                <w:webHidden/>
              </w:rPr>
              <w:t>280</w:t>
            </w:r>
            <w:r w:rsidR="008E0353">
              <w:rPr>
                <w:noProof/>
                <w:webHidden/>
              </w:rPr>
              <w:fldChar w:fldCharType="end"/>
            </w:r>
          </w:hyperlink>
        </w:p>
        <w:p w:rsidR="001648E3" w:rsidRDefault="004D5B08">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8E0353">
              <w:rPr>
                <w:noProof/>
                <w:webHidden/>
              </w:rPr>
              <w:fldChar w:fldCharType="begin"/>
            </w:r>
            <w:r w:rsidR="001648E3">
              <w:rPr>
                <w:noProof/>
                <w:webHidden/>
              </w:rPr>
              <w:instrText xml:space="preserve"> PAGEREF _Toc43191178 \h </w:instrText>
            </w:r>
            <w:r w:rsidR="008E0353">
              <w:rPr>
                <w:noProof/>
                <w:webHidden/>
              </w:rPr>
            </w:r>
            <w:r w:rsidR="008E0353">
              <w:rPr>
                <w:noProof/>
                <w:webHidden/>
              </w:rPr>
              <w:fldChar w:fldCharType="separate"/>
            </w:r>
            <w:r w:rsidR="00996976">
              <w:rPr>
                <w:noProof/>
                <w:webHidden/>
              </w:rPr>
              <w:t>284</w:t>
            </w:r>
            <w:r w:rsidR="008E0353">
              <w:rPr>
                <w:noProof/>
                <w:webHidden/>
              </w:rPr>
              <w:fldChar w:fldCharType="end"/>
            </w:r>
          </w:hyperlink>
        </w:p>
        <w:p w:rsidR="001648E3" w:rsidRDefault="004D5B08">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8E0353">
              <w:rPr>
                <w:noProof/>
                <w:webHidden/>
              </w:rPr>
              <w:fldChar w:fldCharType="begin"/>
            </w:r>
            <w:r w:rsidR="001648E3">
              <w:rPr>
                <w:noProof/>
                <w:webHidden/>
              </w:rPr>
              <w:instrText xml:space="preserve"> PAGEREF _Toc43191179 \h </w:instrText>
            </w:r>
            <w:r w:rsidR="008E0353">
              <w:rPr>
                <w:noProof/>
                <w:webHidden/>
              </w:rPr>
            </w:r>
            <w:r w:rsidR="008E0353">
              <w:rPr>
                <w:noProof/>
                <w:webHidden/>
              </w:rPr>
              <w:fldChar w:fldCharType="separate"/>
            </w:r>
            <w:r w:rsidR="00996976">
              <w:rPr>
                <w:noProof/>
                <w:webHidden/>
              </w:rPr>
              <w:t>288</w:t>
            </w:r>
            <w:r w:rsidR="008E0353">
              <w:rPr>
                <w:noProof/>
                <w:webHidden/>
              </w:rPr>
              <w:fldChar w:fldCharType="end"/>
            </w:r>
          </w:hyperlink>
        </w:p>
        <w:p w:rsidR="001648E3" w:rsidRDefault="004D5B08">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8E0353">
              <w:rPr>
                <w:noProof/>
                <w:webHidden/>
              </w:rPr>
              <w:fldChar w:fldCharType="begin"/>
            </w:r>
            <w:r w:rsidR="001648E3">
              <w:rPr>
                <w:noProof/>
                <w:webHidden/>
              </w:rPr>
              <w:instrText xml:space="preserve"> PAGEREF _Toc43191180 \h </w:instrText>
            </w:r>
            <w:r w:rsidR="008E0353">
              <w:rPr>
                <w:noProof/>
                <w:webHidden/>
              </w:rPr>
            </w:r>
            <w:r w:rsidR="008E0353">
              <w:rPr>
                <w:noProof/>
                <w:webHidden/>
              </w:rPr>
              <w:fldChar w:fldCharType="separate"/>
            </w:r>
            <w:r w:rsidR="00996976">
              <w:rPr>
                <w:noProof/>
                <w:webHidden/>
              </w:rPr>
              <w:t>292</w:t>
            </w:r>
            <w:r w:rsidR="008E0353">
              <w:rPr>
                <w:noProof/>
                <w:webHidden/>
              </w:rPr>
              <w:fldChar w:fldCharType="end"/>
            </w:r>
          </w:hyperlink>
        </w:p>
        <w:p w:rsidR="001648E3" w:rsidRDefault="004D5B08">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8E0353">
              <w:rPr>
                <w:noProof/>
                <w:webHidden/>
              </w:rPr>
              <w:fldChar w:fldCharType="begin"/>
            </w:r>
            <w:r w:rsidR="001648E3">
              <w:rPr>
                <w:noProof/>
                <w:webHidden/>
              </w:rPr>
              <w:instrText xml:space="preserve"> PAGEREF _Toc43191181 \h </w:instrText>
            </w:r>
            <w:r w:rsidR="008E0353">
              <w:rPr>
                <w:noProof/>
                <w:webHidden/>
              </w:rPr>
            </w:r>
            <w:r w:rsidR="008E0353">
              <w:rPr>
                <w:noProof/>
                <w:webHidden/>
              </w:rPr>
              <w:fldChar w:fldCharType="separate"/>
            </w:r>
            <w:r w:rsidR="00996976">
              <w:rPr>
                <w:noProof/>
                <w:webHidden/>
              </w:rPr>
              <w:t>296</w:t>
            </w:r>
            <w:r w:rsidR="008E0353">
              <w:rPr>
                <w:noProof/>
                <w:webHidden/>
              </w:rPr>
              <w:fldChar w:fldCharType="end"/>
            </w:r>
          </w:hyperlink>
        </w:p>
        <w:p w:rsidR="001648E3" w:rsidRDefault="004D5B08">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8E0353">
              <w:rPr>
                <w:noProof/>
                <w:webHidden/>
              </w:rPr>
              <w:fldChar w:fldCharType="begin"/>
            </w:r>
            <w:r w:rsidR="001648E3">
              <w:rPr>
                <w:noProof/>
                <w:webHidden/>
              </w:rPr>
              <w:instrText xml:space="preserve"> PAGEREF _Toc43191182 \h </w:instrText>
            </w:r>
            <w:r w:rsidR="008E0353">
              <w:rPr>
                <w:noProof/>
                <w:webHidden/>
              </w:rPr>
            </w:r>
            <w:r w:rsidR="008E0353">
              <w:rPr>
                <w:noProof/>
                <w:webHidden/>
              </w:rPr>
              <w:fldChar w:fldCharType="separate"/>
            </w:r>
            <w:r w:rsidR="00996976">
              <w:rPr>
                <w:noProof/>
                <w:webHidden/>
              </w:rPr>
              <w:t>300</w:t>
            </w:r>
            <w:r w:rsidR="008E0353">
              <w:rPr>
                <w:noProof/>
                <w:webHidden/>
              </w:rPr>
              <w:fldChar w:fldCharType="end"/>
            </w:r>
          </w:hyperlink>
        </w:p>
        <w:p w:rsidR="001648E3" w:rsidRDefault="004D5B08">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8E0353">
              <w:rPr>
                <w:noProof/>
                <w:webHidden/>
              </w:rPr>
              <w:fldChar w:fldCharType="begin"/>
            </w:r>
            <w:r w:rsidR="001648E3">
              <w:rPr>
                <w:noProof/>
                <w:webHidden/>
              </w:rPr>
              <w:instrText xml:space="preserve"> PAGEREF _Toc43191183 \h </w:instrText>
            </w:r>
            <w:r w:rsidR="008E0353">
              <w:rPr>
                <w:noProof/>
                <w:webHidden/>
              </w:rPr>
            </w:r>
            <w:r w:rsidR="008E0353">
              <w:rPr>
                <w:noProof/>
                <w:webHidden/>
              </w:rPr>
              <w:fldChar w:fldCharType="separate"/>
            </w:r>
            <w:r w:rsidR="00996976">
              <w:rPr>
                <w:noProof/>
                <w:webHidden/>
              </w:rPr>
              <w:t>304</w:t>
            </w:r>
            <w:r w:rsidR="008E0353">
              <w:rPr>
                <w:noProof/>
                <w:webHidden/>
              </w:rPr>
              <w:fldChar w:fldCharType="end"/>
            </w:r>
          </w:hyperlink>
        </w:p>
        <w:p w:rsidR="001648E3" w:rsidRDefault="004D5B08">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8E0353">
              <w:rPr>
                <w:noProof/>
                <w:webHidden/>
              </w:rPr>
              <w:fldChar w:fldCharType="begin"/>
            </w:r>
            <w:r w:rsidR="001648E3">
              <w:rPr>
                <w:noProof/>
                <w:webHidden/>
              </w:rPr>
              <w:instrText xml:space="preserve"> PAGEREF _Toc43191184 \h </w:instrText>
            </w:r>
            <w:r w:rsidR="008E0353">
              <w:rPr>
                <w:noProof/>
                <w:webHidden/>
              </w:rPr>
            </w:r>
            <w:r w:rsidR="008E0353">
              <w:rPr>
                <w:noProof/>
                <w:webHidden/>
              </w:rPr>
              <w:fldChar w:fldCharType="separate"/>
            </w:r>
            <w:r w:rsidR="00996976">
              <w:rPr>
                <w:noProof/>
                <w:webHidden/>
              </w:rPr>
              <w:t>308</w:t>
            </w:r>
            <w:r w:rsidR="008E0353">
              <w:rPr>
                <w:noProof/>
                <w:webHidden/>
              </w:rPr>
              <w:fldChar w:fldCharType="end"/>
            </w:r>
          </w:hyperlink>
        </w:p>
        <w:p w:rsidR="001648E3" w:rsidRDefault="004D5B08">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8E0353">
              <w:rPr>
                <w:noProof/>
                <w:webHidden/>
              </w:rPr>
              <w:fldChar w:fldCharType="begin"/>
            </w:r>
            <w:r w:rsidR="001648E3">
              <w:rPr>
                <w:noProof/>
                <w:webHidden/>
              </w:rPr>
              <w:instrText xml:space="preserve"> PAGEREF _Toc43191185 \h </w:instrText>
            </w:r>
            <w:r w:rsidR="008E0353">
              <w:rPr>
                <w:noProof/>
                <w:webHidden/>
              </w:rPr>
            </w:r>
            <w:r w:rsidR="008E0353">
              <w:rPr>
                <w:noProof/>
                <w:webHidden/>
              </w:rPr>
              <w:fldChar w:fldCharType="separate"/>
            </w:r>
            <w:r w:rsidR="00996976">
              <w:rPr>
                <w:noProof/>
                <w:webHidden/>
              </w:rPr>
              <w:t>312</w:t>
            </w:r>
            <w:r w:rsidR="008E0353">
              <w:rPr>
                <w:noProof/>
                <w:webHidden/>
              </w:rPr>
              <w:fldChar w:fldCharType="end"/>
            </w:r>
          </w:hyperlink>
        </w:p>
        <w:p w:rsidR="008F6FC0" w:rsidRPr="0059042E" w:rsidRDefault="008E0353"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5F7D2D97" wp14:editId="604ADC62">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43191111"/>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43191112"/>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3"/>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D95C76">
              <w:rPr>
                <w:rFonts w:eastAsia="Times New Roman" w:cs="Times New Roman"/>
                <w:color w:val="000000"/>
                <w:lang w:eastAsia="pl-PL"/>
              </w:rPr>
              <w:t>38 300 000</w:t>
            </w:r>
            <w:r w:rsidR="00701CC6">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4"/>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95C7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4 769 765 </w:t>
            </w:r>
            <w:r w:rsidR="0062538F">
              <w:rPr>
                <w:rFonts w:eastAsia="Times New Roman" w:cs="Times New Roman"/>
                <w:color w:val="000000"/>
                <w:lang w:eastAsia="pl-PL"/>
              </w:rPr>
              <w:t xml:space="preserve">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5"/>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6"/>
            <w:r w:rsidRPr="000047EC">
              <w:rPr>
                <w:rFonts w:ascii="Myriad Pro" w:eastAsia="Times New Roman" w:hAnsi="Myriad Pro" w:cs="Times New Roman"/>
                <w:b w:val="0"/>
                <w:color w:val="000000"/>
                <w:lang w:eastAsia="pl-PL"/>
              </w:rPr>
              <w:lastRenderedPageBreak/>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r w:rsidR="00CE2D73">
              <w:rPr>
                <w:rFonts w:eastAsia="Times New Roman" w:cs="Times New Roman"/>
                <w:lang w:eastAsia="pl-PL"/>
              </w:rPr>
              <w:t xml:space="preserve"> </w:t>
            </w:r>
          </w:p>
          <w:p w:rsidR="0018617C" w:rsidRDefault="0018617C" w:rsidP="0018617C">
            <w:pPr>
              <w:rPr>
                <w:rFonts w:ascii="Arial" w:hAnsi="Arial"/>
              </w:rPr>
            </w:pPr>
          </w:p>
          <w:p w:rsidR="0018617C" w:rsidRDefault="0018617C" w:rsidP="0018617C">
            <w:pPr>
              <w:rPr>
                <w:rFonts w:ascii="Arial" w:hAnsi="Arial"/>
              </w:rPr>
            </w:pPr>
            <w:r>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Pr>
                <w:rFonts w:ascii="Arial" w:hAnsi="Arial"/>
              </w:rPr>
              <w:t xml:space="preserve">zedsiębiorstwie w okresie do 24 </w:t>
            </w:r>
            <w:r>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0047EC" w:rsidRDefault="0018617C" w:rsidP="003D02B1">
            <w:pPr>
              <w:spacing w:line="240" w:lineRule="auto"/>
              <w:rPr>
                <w:rFonts w:eastAsia="Times New Roman" w:cs="Times New Roman"/>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p w:rsidR="00B36158" w:rsidRPr="00B36158" w:rsidRDefault="00B36158" w:rsidP="003D02B1">
            <w:pPr>
              <w:numPr>
                <w:ilvl w:val="0"/>
                <w:numId w:val="308"/>
              </w:numPr>
              <w:spacing w:line="240" w:lineRule="auto"/>
              <w:rPr>
                <w:rFonts w:eastAsia="Times New Roman" w:cs="Times New Roman"/>
                <w:color w:val="000000"/>
                <w:lang w:eastAsia="pl-PL"/>
              </w:rPr>
            </w:pPr>
            <w:r w:rsidRPr="00B36158">
              <w:t>Wielkość zatrudnienia w przedsiębiorstwie utrzymana dzięki realizacji inwestycji (etat)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p w:rsidR="00711439" w:rsidRDefault="00711439" w:rsidP="00711439">
            <w:pPr>
              <w:numPr>
                <w:ilvl w:val="0"/>
                <w:numId w:val="309"/>
              </w:numPr>
              <w:spacing w:line="240" w:lineRule="auto"/>
              <w:rPr>
                <w:rFonts w:eastAsia="Times New Roman" w:cs="Times New Roman"/>
                <w:color w:val="000000"/>
                <w:lang w:eastAsia="pl-PL"/>
              </w:rPr>
            </w:pPr>
            <w:r w:rsidRPr="00711439">
              <w:rPr>
                <w:rFonts w:eastAsia="Times New Roman" w:cs="Times New Roman"/>
                <w:color w:val="000000"/>
                <w:lang w:eastAsia="pl-PL"/>
              </w:rPr>
              <w:t>Liczba przedsiębiorstw otrzymujących dotacje w związku z pandemią COVID-19 [przedsiębiorstwa]</w:t>
            </w:r>
            <w:r w:rsidR="00C84881">
              <w:rPr>
                <w:rFonts w:eastAsia="Times New Roman" w:cs="Times New Roman"/>
                <w:color w:val="000000"/>
                <w:lang w:eastAsia="pl-PL"/>
              </w:rPr>
              <w:t xml:space="preserve"> – CV26</w:t>
            </w:r>
          </w:p>
          <w:p w:rsidR="0018617C" w:rsidRPr="000047EC" w:rsidRDefault="0018617C" w:rsidP="00B36158">
            <w:pPr>
              <w:spacing w:line="240" w:lineRule="auto"/>
              <w:ind w:left="720"/>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Default="004A5F41" w:rsidP="000B1811">
            <w:pPr>
              <w:spacing w:line="240" w:lineRule="auto"/>
              <w:rPr>
                <w:rFonts w:cstheme="minorBidi"/>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EF6EEC" w:rsidRPr="003E057C" w:rsidRDefault="00EF6EEC" w:rsidP="000B1811">
            <w:pPr>
              <w:spacing w:line="240" w:lineRule="auto"/>
              <w:rPr>
                <w:rFonts w:eastAsia="Times New Roman" w:cs="Times New Roman"/>
                <w:b/>
                <w:bCs/>
                <w:lang w:eastAsia="pl-PL"/>
              </w:rPr>
            </w:pPr>
            <w:r w:rsidRPr="003E057C">
              <w:rPr>
                <w:rStyle w:val="Pogrubienie"/>
                <w:b w:val="0"/>
              </w:rPr>
              <w:t>W ramach przedmiotowego działania wdrażane będą Instrumenty Finansowe niwelujące w szczególności utratę przez MŚP płynności finansowej spowodowanej światowym kryzysem w związku z wystąpieniem pandemii COVID-19.</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A245B2"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wspieranych nowych przedsiębiorstw (CI ) [przedsiębiorstwa],</w:t>
            </w:r>
          </w:p>
          <w:p w:rsidR="00A245B2" w:rsidRDefault="00A245B2" w:rsidP="00A245B2">
            <w:pPr>
              <w:numPr>
                <w:ilvl w:val="0"/>
                <w:numId w:val="324"/>
              </w:numPr>
              <w:spacing w:line="240" w:lineRule="auto"/>
              <w:ind w:left="714" w:hanging="357"/>
              <w:rPr>
                <w:rFonts w:ascii="Calibri" w:hAnsi="Calibri"/>
              </w:rPr>
            </w:pPr>
            <w:r w:rsidRPr="00A245B2">
              <w:rPr>
                <w:rFonts w:ascii="Calibri" w:hAnsi="Calibri"/>
              </w:rPr>
              <w:t>Liczba przedsiębiorstw otrzymujących wsparcie finansowe inne niż dotacje w związku z pandemią COVID-19 [przedsiębiorstwa]</w:t>
            </w:r>
            <w:r w:rsidR="00C84881">
              <w:rPr>
                <w:rFonts w:ascii="Calibri" w:hAnsi="Calibri"/>
              </w:rPr>
              <w:t xml:space="preserve"> – CV27</w:t>
            </w:r>
          </w:p>
          <w:p w:rsidR="00A245B2" w:rsidRPr="00A245B2" w:rsidRDefault="00A245B2" w:rsidP="00A245B2">
            <w:pPr>
              <w:numPr>
                <w:ilvl w:val="0"/>
                <w:numId w:val="324"/>
              </w:numPr>
              <w:spacing w:line="240" w:lineRule="auto"/>
              <w:ind w:left="714" w:hanging="357"/>
              <w:rPr>
                <w:rFonts w:ascii="Calibri" w:hAnsi="Calibri"/>
              </w:rPr>
            </w:pPr>
            <w:r w:rsidRPr="00A245B2">
              <w:rPr>
                <w:rFonts w:ascii="Calibri" w:hAnsi="Calibri"/>
              </w:rPr>
              <w:t>Liczba MŚP objętych wsparciem innym niż bezzwrotnym (instrumenty finansowe) finansującym kapitał obrotowy w związku z COV</w:t>
            </w:r>
            <w:r>
              <w:rPr>
                <w:rFonts w:ascii="Calibri" w:hAnsi="Calibri"/>
              </w:rPr>
              <w:t xml:space="preserve">ID-19 [przedsiębiorstwa] </w:t>
            </w:r>
            <w:r w:rsidR="00C84881">
              <w:rPr>
                <w:rFonts w:ascii="Calibri" w:hAnsi="Calibri"/>
              </w:rPr>
              <w:t>– CV2</w:t>
            </w:r>
            <w:r w:rsidR="00AA6741">
              <w:rPr>
                <w:rFonts w:ascii="Calibri" w:hAnsi="Calibri"/>
              </w:rPr>
              <w:t>3</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EF6EEC">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EF6EEC">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Pr>
                <w:rStyle w:val="Pogrubienie"/>
                <w:color w:val="FF0000"/>
              </w:rPr>
              <w:t xml:space="preserve"> </w:t>
            </w:r>
            <w:r w:rsidRPr="003E057C">
              <w:rPr>
                <w:rStyle w:val="Pogrubienie"/>
                <w:b w:val="0"/>
              </w:rPr>
              <w:t>86,78 %</w:t>
            </w:r>
          </w:p>
        </w:tc>
      </w:tr>
      <w:tr w:rsidR="004A5F41" w:rsidRPr="000047EC" w:rsidTr="00EF6EEC">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sidRPr="003E057C">
              <w:rPr>
                <w:rStyle w:val="Pogrubienie"/>
                <w:b w:val="0"/>
              </w:rPr>
              <w:t>86,78%</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EF6EEC">
            <w:pPr>
              <w:spacing w:line="240" w:lineRule="auto"/>
              <w:rPr>
                <w:rFonts w:eastAsia="Times New Roman" w:cs="Times New Roman"/>
                <w:lang w:eastAsia="pl-PL"/>
              </w:rPr>
            </w:pPr>
            <w:r>
              <w:rPr>
                <w:rFonts w:eastAsia="Times New Roman" w:cs="Times New Roman"/>
                <w:color w:val="000000"/>
                <w:lang w:eastAsia="pl-PL"/>
              </w:rPr>
              <w:t xml:space="preserve"> </w:t>
            </w:r>
            <w:r w:rsidRPr="003E057C">
              <w:rPr>
                <w:rStyle w:val="Pogrubienie"/>
                <w:b w:val="0"/>
              </w:rPr>
              <w:t>13,22%</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3E057C" w:rsidRDefault="004A5F41" w:rsidP="000B1811">
            <w:pPr>
              <w:numPr>
                <w:ilvl w:val="0"/>
                <w:numId w:val="325"/>
              </w:numPr>
              <w:spacing w:line="240" w:lineRule="auto"/>
              <w:ind w:left="714" w:hanging="357"/>
              <w:rPr>
                <w:rFonts w:eastAsia="Times New Roman" w:cs="Times New Roman"/>
                <w:lang w:eastAsia="pl-PL"/>
              </w:rPr>
            </w:pPr>
            <w:r w:rsidRPr="000047EC">
              <w:rPr>
                <w:rFonts w:eastAsia="Times New Roman" w:cs="Times New Roman"/>
                <w:color w:val="000000"/>
                <w:lang w:eastAsia="pl-PL"/>
              </w:rPr>
              <w:t>pożyczki na wdrożenia do praktyki gospodarczej wyników działalności badawczo-rozwojowych.</w:t>
            </w:r>
          </w:p>
          <w:p w:rsidR="00EF6EEC" w:rsidRPr="00EF6EEC" w:rsidRDefault="00EF6EEC" w:rsidP="000B1811">
            <w:pPr>
              <w:numPr>
                <w:ilvl w:val="0"/>
                <w:numId w:val="325"/>
              </w:numPr>
              <w:spacing w:line="240" w:lineRule="auto"/>
              <w:ind w:left="714" w:hanging="357"/>
              <w:rPr>
                <w:rFonts w:eastAsia="Times New Roman" w:cs="Times New Roman"/>
                <w:b/>
                <w:color w:val="000000"/>
                <w:lang w:eastAsia="pl-PL"/>
              </w:rPr>
            </w:pPr>
            <w:r w:rsidRPr="003E057C">
              <w:rPr>
                <w:rStyle w:val="Pogrubienie"/>
                <w:b w:val="0"/>
              </w:rPr>
              <w:t>pożyczki płynnościowe przeznaczone na przeciwdziałanie skutkom związanym z wystąpieniem pandemii COVID-19</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3"/>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4"/>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Default="00321410" w:rsidP="00FC0FDA">
            <w:pPr>
              <w:spacing w:line="240" w:lineRule="auto"/>
              <w:rPr>
                <w:rFonts w:eastAsia="Times New Roman" w:cs="Calibri"/>
                <w:lang w:eastAsia="pl-PL"/>
              </w:rPr>
            </w:pPr>
            <w:r w:rsidRPr="00321410">
              <w:rPr>
                <w:rFonts w:eastAsia="Times New Roman" w:cs="Calibri"/>
                <w:lang w:eastAsia="pl-PL"/>
              </w:rPr>
              <w:t>Liczba instytucji otoczenia biznesu wspartych w zakresie profesjonalizacji usług [szt.]</w:t>
            </w:r>
          </w:p>
          <w:p w:rsidR="001C3EBD" w:rsidRDefault="001C3EBD" w:rsidP="00FC0FDA">
            <w:pPr>
              <w:spacing w:line="240" w:lineRule="auto"/>
              <w:rPr>
                <w:rFonts w:eastAsia="Times New Roman" w:cs="Times New Roman"/>
                <w:lang w:eastAsia="pl-PL"/>
              </w:rPr>
            </w:pPr>
            <w:r w:rsidRPr="001C3EBD">
              <w:rPr>
                <w:rFonts w:eastAsia="Times New Roman" w:cs="Times New Roman"/>
                <w:lang w:eastAsia="pl-PL"/>
              </w:rPr>
              <w:t>Liczba podmiotów objętych wsparciem w zakresie zwalczania lub przeciwdziałania skutkom pandemii COVID-19 [szt.]</w:t>
            </w:r>
            <w:r w:rsidR="00C84881">
              <w:rPr>
                <w:rFonts w:eastAsia="Times New Roman" w:cs="Times New Roman"/>
                <w:lang w:eastAsia="pl-PL"/>
              </w:rPr>
              <w:t>- CV33</w:t>
            </w:r>
            <w:r w:rsidRPr="001C3EBD">
              <w:rPr>
                <w:rFonts w:eastAsia="Times New Roman" w:cs="Times New Roman"/>
                <w:lang w:eastAsia="pl-PL"/>
              </w:rPr>
              <w:t>.]</w:t>
            </w:r>
          </w:p>
          <w:p w:rsidR="00F05DD0" w:rsidRPr="005A478B" w:rsidRDefault="00F05DD0" w:rsidP="00F05DD0">
            <w:pPr>
              <w:rPr>
                <w:rFonts w:ascii="Calibri" w:hAnsi="Calibri"/>
              </w:rPr>
            </w:pPr>
            <w:r w:rsidRPr="005A478B">
              <w:rPr>
                <w:rFonts w:ascii="Calibri" w:hAnsi="Calibri"/>
              </w:rPr>
              <w:t>Wartość wydatków kwalifikowalnych przeznaczonych na działania związane z pandemią COVID-19 [PLN]</w:t>
            </w:r>
            <w:r w:rsidR="00C84881" w:rsidRPr="005A478B">
              <w:rPr>
                <w:rFonts w:ascii="Calibri" w:hAnsi="Calibri"/>
              </w:rPr>
              <w:t xml:space="preserve"> – CV30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 </w:t>
            </w:r>
            <w:r w:rsidR="00F60C65">
              <w:rPr>
                <w:rFonts w:eastAsia="Times New Roman" w:cs="Times New Roman"/>
                <w:lang w:eastAsia="pl-PL"/>
              </w:rPr>
              <w:t>3 976 735</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lastRenderedPageBreak/>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program 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6"/>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7136E07E" wp14:editId="614F2760">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1C54C7">
            <w:pPr>
              <w:spacing w:line="240" w:lineRule="auto"/>
              <w:rPr>
                <w:rFonts w:eastAsia="Times New Roman" w:cstheme="minorBidi"/>
                <w:color w:val="000000"/>
                <w:lang w:eastAsia="pl-PL"/>
              </w:rPr>
            </w:pP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w:t>
            </w:r>
          </w:p>
          <w:p w:rsidR="002E3754" w:rsidRDefault="00F66AC9" w:rsidP="001C54C7">
            <w:pPr>
              <w:spacing w:line="240" w:lineRule="auto"/>
              <w:rPr>
                <w:rFonts w:eastAsia="Times New Roman" w:cstheme="minorBidi"/>
                <w:color w:val="000000"/>
                <w:lang w:eastAsia="pl-PL"/>
              </w:rPr>
            </w:pPr>
            <w:r>
              <w:rPr>
                <w:rFonts w:eastAsia="Times New Roman" w:cstheme="minorBidi"/>
                <w:color w:val="000000"/>
                <w:lang w:eastAsia="pl-PL"/>
              </w:rPr>
              <w:t xml:space="preserve"> 41 792</w:t>
            </w:r>
            <w:r w:rsidR="0051646D">
              <w:rPr>
                <w:rFonts w:eastAsia="Times New Roman" w:cstheme="minorBidi"/>
                <w:color w:val="000000"/>
                <w:lang w:eastAsia="pl-PL"/>
              </w:rPr>
              <w:t> </w:t>
            </w:r>
            <w:r>
              <w:rPr>
                <w:rFonts w:eastAsia="Times New Roman" w:cstheme="minorBidi"/>
                <w:color w:val="000000"/>
                <w:lang w:eastAsia="pl-PL"/>
              </w:rPr>
              <w:t>602</w:t>
            </w:r>
            <w:r w:rsidR="0051646D">
              <w:rPr>
                <w:rFonts w:eastAsia="Times New Roman" w:cstheme="minorBidi"/>
                <w:color w:val="000000"/>
                <w:lang w:eastAsia="pl-PL"/>
              </w:rPr>
              <w:t xml:space="preserve"> EUR</w:t>
            </w:r>
          </w:p>
          <w:p w:rsidR="006513A8" w:rsidRPr="00E432E1" w:rsidRDefault="006513A8" w:rsidP="001E7E11">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4F645C">
            <w:pPr>
              <w:spacing w:line="240" w:lineRule="auto"/>
              <w:rPr>
                <w:rFonts w:eastAsia="Times New Roman" w:cstheme="minorBidi"/>
                <w:color w:val="000000"/>
                <w:lang w:eastAsia="pl-PL"/>
              </w:rPr>
            </w:pP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6F7D62">
            <w:pPr>
              <w:spacing w:line="240" w:lineRule="auto"/>
              <w:rPr>
                <w:rFonts w:eastAsia="Times New Roman" w:cstheme="minorBidi"/>
                <w:color w:val="000000"/>
                <w:lang w:eastAsia="pl-PL"/>
              </w:rPr>
            </w:pP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6"/>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AC25E9">
              <w:rPr>
                <w:rFonts w:eastAsia="Times New Roman" w:cs="Times New Roman"/>
                <w:color w:val="000000"/>
                <w:lang w:eastAsia="pl-PL"/>
              </w:rPr>
              <w:t xml:space="preserve">1 857 708 </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4"/>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33C52688" wp14:editId="2D63F53E">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W zakresie odzysku wsparcie będzie kierowane na budowę, przebudowę instalacji służących procesom odzysku określonych w załączniku nr 5 do ustawy o 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5"/>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2D75521A" wp14:editId="08DB7548">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Wzrost oczekiwanej liczby odwiedzin w objętych wsparciem miejscach należących do dziedzictwa kulturalnego i naturalnego oraz stanowiących 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7"/>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0"/>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7"/>
          <w:footerReference w:type="default" r:id="rId88"/>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p w:rsidR="004215B9" w:rsidRPr="004215B9" w:rsidRDefault="004215B9" w:rsidP="004215B9">
            <w:pPr>
              <w:pStyle w:val="Akapitzlist"/>
              <w:numPr>
                <w:ilvl w:val="0"/>
                <w:numId w:val="209"/>
              </w:numPr>
              <w:spacing w:line="240" w:lineRule="auto"/>
              <w:rPr>
                <w:rFonts w:eastAsia="Times New Roman" w:cs="Times New Roman"/>
                <w:lang w:eastAsia="pl-PL"/>
              </w:rPr>
            </w:pPr>
            <w:r w:rsidRPr="004215B9">
              <w:rPr>
                <w:rFonts w:eastAsia="Times New Roman" w:cs="Times New Roman"/>
                <w:lang w:eastAsia="pl-PL"/>
              </w:rPr>
              <w:t>Liczba wspartych podmiotów leczniczych w związku z pandemią COVID-19 [szt.]</w:t>
            </w:r>
            <w:r w:rsidR="001B1C38">
              <w:rPr>
                <w:rFonts w:eastAsia="Times New Roman" w:cs="Times New Roman"/>
                <w:lang w:eastAsia="pl-PL"/>
              </w:rPr>
              <w:t xml:space="preserve"> (CV 12)</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wyposażonych laboratoriów w związku z pandemią COVID-19 [szt.]</w:t>
            </w:r>
            <w:r w:rsidR="001B1C38">
              <w:rPr>
                <w:rFonts w:eastAsia="Times New Roman" w:cs="Times New Roman"/>
                <w:lang w:eastAsia="pl-PL"/>
              </w:rPr>
              <w:t xml:space="preserve"> (CV 13)</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aparatów do oznaczania koronawirusa metoda</w:t>
            </w:r>
            <w:r w:rsidRPr="004215B9">
              <w:rPr>
                <w:rFonts w:ascii="Arial" w:eastAsia="Times New Roman" w:hAnsi="Arial" w:cs="Times New Roman"/>
                <w:lang w:eastAsia="pl-PL"/>
              </w:rPr>
              <w:t>̨</w:t>
            </w:r>
            <w:r w:rsidRPr="004215B9">
              <w:rPr>
                <w:rFonts w:eastAsia="Times New Roman" w:cs="Times New Roman"/>
                <w:lang w:eastAsia="pl-PL"/>
              </w:rPr>
              <w:t xml:space="preserve"> genetyczna</w:t>
            </w:r>
            <w:r w:rsidRPr="004215B9">
              <w:rPr>
                <w:rFonts w:ascii="Arial" w:eastAsia="Times New Roman" w:hAnsi="Arial" w:cs="Times New Roman"/>
                <w:lang w:eastAsia="pl-PL"/>
              </w:rPr>
              <w:t>̨</w:t>
            </w:r>
            <w:r w:rsidRPr="004215B9">
              <w:rPr>
                <w:rFonts w:eastAsia="Times New Roman" w:cs="Times New Roman"/>
                <w:lang w:eastAsia="pl-PL"/>
              </w:rPr>
              <w:t>/molekularna</w:t>
            </w:r>
            <w:r w:rsidRPr="004215B9">
              <w:rPr>
                <w:rFonts w:ascii="Arial" w:eastAsia="Times New Roman" w:hAnsi="Arial" w:cs="Times New Roman"/>
                <w:lang w:eastAsia="pl-PL"/>
              </w:rPr>
              <w:t>̨</w:t>
            </w:r>
            <w:r w:rsidRPr="004215B9">
              <w:rPr>
                <w:rFonts w:eastAsia="Times New Roman" w:cs="Times New Roman"/>
                <w:lang w:eastAsia="pl-PL"/>
              </w:rPr>
              <w:t xml:space="preserve"> w związku z pandemia</w:t>
            </w:r>
            <w:r w:rsidRPr="004215B9">
              <w:rPr>
                <w:rFonts w:ascii="Arial" w:eastAsia="Times New Roman" w:hAnsi="Arial" w:cs="Times New Roman"/>
                <w:lang w:eastAsia="pl-PL"/>
              </w:rPr>
              <w:t>̨</w:t>
            </w:r>
            <w:r w:rsidRPr="004215B9">
              <w:rPr>
                <w:rFonts w:eastAsia="Times New Roman" w:cs="Times New Roman"/>
                <w:lang w:eastAsia="pl-PL"/>
              </w:rPr>
              <w:t xml:space="preserve"> COVID-19 [szt</w:t>
            </w:r>
            <w:r w:rsidR="001B1C38">
              <w:rPr>
                <w:rFonts w:eastAsia="Times New Roman" w:cs="Times New Roman"/>
                <w:lang w:eastAsia="pl-PL"/>
              </w:rPr>
              <w:t>.] (CV 14)</w:t>
            </w:r>
            <w:r w:rsidRPr="004215B9">
              <w:rPr>
                <w:rFonts w:eastAsia="Times New Roman" w:cs="Times New Roman"/>
                <w:lang w:eastAsia="pl-PL"/>
              </w:rPr>
              <w:t xml:space="preserve">.]; </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zakupionego sprzętu medycznego, innego niż aparaty do oznaczania koronawirusa i respiratory [szt</w:t>
            </w:r>
            <w:r w:rsidR="001B1C38">
              <w:rPr>
                <w:rFonts w:eastAsia="Times New Roman" w:cs="Times New Roman"/>
                <w:lang w:eastAsia="pl-PL"/>
              </w:rPr>
              <w:t>.] (CV 15)</w:t>
            </w:r>
            <w:r w:rsidRPr="004215B9">
              <w:rPr>
                <w:rFonts w:eastAsia="Times New Roman" w:cs="Times New Roman"/>
                <w:lang w:eastAsia="pl-PL"/>
              </w:rPr>
              <w:t>.].</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respiratorów w celu wsparcia leczenia COVID-19 [szt.] (CV 7)</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Dodatkowa przestrzeń łóźkowa stworzona dla pacjentów chorych na COVID-19 [szt.] (CV 8)</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laboratoriów, które zostały nowowybudowane, nowowyposażone lub o zwiększonych możliwościach testowania COVID-19 [szt.] (CV 9)</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Zdolność przeprowadzania testów oraz diagnozowania COVID-19 [szt.] (CV 10)</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osób objętych wsparciem w zakresie zwalczania lub przeciwdziałania skutkom pandemii COVID-19 [osoby]</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podmiotów objętych wsparciem w zakresie zwalczania lub przeciwdziałania skutkom pandemii COVID-19 [szt.]</w:t>
            </w:r>
            <w:r w:rsidR="001B1C38">
              <w:rPr>
                <w:rFonts w:eastAsia="Times New Roman" w:cs="Times New Roman"/>
                <w:lang w:eastAsia="pl-PL"/>
              </w:rPr>
              <w:t xml:space="preserve"> (CV 33)</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Wartość wydatków kwalifikowalnych przeznaczonych na działania związane z pandemią COVID-19 [PLN]</w:t>
            </w:r>
            <w:r w:rsidR="001B1C38">
              <w:rPr>
                <w:rFonts w:eastAsia="Times New Roman" w:cs="Times New Roman"/>
                <w:lang w:eastAsia="pl-PL"/>
              </w:rPr>
              <w:t xml:space="preserve"> (CV 30)</w:t>
            </w:r>
          </w:p>
          <w:p w:rsidR="004215B9" w:rsidRDefault="004215B9" w:rsidP="004215B9">
            <w:pPr>
              <w:spacing w:line="240" w:lineRule="auto"/>
              <w:ind w:left="720"/>
              <w:rPr>
                <w:rFonts w:eastAsia="Times New Roman" w:cs="Times New Roman"/>
                <w:lang w:eastAsia="pl-PL"/>
              </w:rPr>
            </w:pP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C25E9" w:rsidP="00317C63">
            <w:pPr>
              <w:spacing w:line="240" w:lineRule="auto"/>
              <w:rPr>
                <w:rFonts w:eastAsia="Times New Roman" w:cs="Times New Roman"/>
                <w:color w:val="000000"/>
                <w:lang w:eastAsia="pl-PL"/>
              </w:rPr>
            </w:pPr>
            <w:r>
              <w:rPr>
                <w:rFonts w:eastAsia="Times New Roman" w:cs="Times New Roman"/>
                <w:lang w:eastAsia="pl-PL"/>
              </w:rPr>
              <w:t>58</w:t>
            </w:r>
            <w:r w:rsidR="005300B9">
              <w:rPr>
                <w:rFonts w:eastAsia="Times New Roman" w:cs="Times New Roman"/>
                <w:lang w:eastAsia="pl-PL"/>
              </w:rPr>
              <w:t xml:space="preserve"> </w:t>
            </w:r>
            <w:r w:rsidR="00A7398F" w:rsidRPr="002A5CC6">
              <w:rPr>
                <w:rFonts w:eastAsia="Times New Roman" w:cs="Times New Roman"/>
                <w:lang w:eastAsia="pl-PL"/>
              </w:rPr>
              <w:t> 000 000</w:t>
            </w:r>
            <w:r w:rsidR="00A7398F"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dostosowanie oraz wyposażenie sal dydaktycznych w zakresie kompetencji kluczowych(ICT, nauk przyrodniczo-matematycznych, języków obcych)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Działanie powiązane zakresem wsparcia z Działaniem 9.7 w ramach tych dwóch działań zostanie utworzona sieć ośrodków popularyzujących naukę, ściśle ze 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p w:rsidR="0097613B"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 xml:space="preserve">W związku z panującą epidemią COVID -19 dopuszczalne będą projekty administracji publicznej pozwalające na realizowanie usług publicznych zdalnie.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DF6EC9" w:rsidRDefault="003E05F4" w:rsidP="00F72D8A">
            <w:pPr>
              <w:spacing w:line="240" w:lineRule="auto"/>
              <w:ind w:left="714"/>
              <w:rPr>
                <w:rFonts w:ascii="Calibri" w:hAnsi="Calibri" w:cs="Calibri"/>
              </w:rPr>
            </w:pPr>
            <w:r w:rsidRPr="003E05F4">
              <w:rPr>
                <w:rFonts w:ascii="Calibri" w:hAnsi="Calibri" w:cs="Calibri"/>
              </w:rPr>
              <w:t>Inwestowanie w tzw. twardą infrastrukturę</w:t>
            </w:r>
            <w:r>
              <w:rPr>
                <w:rFonts w:ascii="Calibri" w:hAnsi="Calibri" w:cs="Calibri"/>
              </w:rPr>
              <w:t>jest możliwe jedynie, o ile warunkuje to realizację celów projektu, zaś przeprowadzona analiza wykazujeniedostępność zasobów w ramach administracji publicznej.</w:t>
            </w:r>
            <w:r w:rsidR="0097613B">
              <w:rPr>
                <w:rFonts w:ascii="Calibri" w:hAnsi="Calibri" w:cs="Calibri"/>
              </w:rPr>
              <w:t xml:space="preserve"> W zwiazkuz epidemią COVID-19 możliwe są inwestycje w sprzęt i oprogramowanie pozwalające na świadcznie usług publicznych w sposób zdalny oraz niezbędnych do funkcjnowania administracji </w:t>
            </w:r>
            <w:r w:rsidR="00F72D8A">
              <w:rPr>
                <w:rFonts w:ascii="Calibri" w:hAnsi="Calibri" w:cs="Calibri"/>
              </w:rPr>
              <w:t>publicznej</w:t>
            </w:r>
            <w:r w:rsidR="0097613B">
              <w:rPr>
                <w:rFonts w:ascii="Calibri" w:hAnsi="Calibri" w:cs="Calibri"/>
              </w:rPr>
              <w:t xml:space="preserve"> w realiach epidemii.</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p w:rsidR="00F72D8A" w:rsidRDefault="00F72D8A" w:rsidP="00317C63">
            <w:pPr>
              <w:spacing w:line="240" w:lineRule="auto"/>
              <w:rPr>
                <w:color w:val="1F497D"/>
              </w:rPr>
            </w:pPr>
            <w:r>
              <w:rPr>
                <w:color w:val="1F497D"/>
              </w:rPr>
              <w:t>Tryb nadzwyczajny</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r>
              <w:rPr>
                <w:rFonts w:eastAsia="Times New Roman" w:cs="Times New Roman"/>
                <w:color w:val="000000"/>
                <w:lang w:eastAsia="pl-PL"/>
              </w:rPr>
              <w:t>, wnioskodawcy są wzywani do złożenia niosku.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100</w:t>
            </w:r>
            <w:r w:rsidR="00966824" w:rsidRPr="00E15BB3">
              <w:rPr>
                <w:rFonts w:eastAsia="Times New Roman" w:cs="Times New Roman"/>
                <w:color w:val="000000"/>
                <w:lang w:eastAsia="pl-PL"/>
              </w:rPr>
              <w:t>% (</w:t>
            </w:r>
            <w:r>
              <w:rPr>
                <w:rFonts w:eastAsia="Times New Roman" w:cs="Times New Roman"/>
                <w:color w:val="000000"/>
                <w:lang w:eastAsia="pl-PL"/>
              </w:rPr>
              <w:t>90</w:t>
            </w:r>
            <w:r w:rsidR="00966824" w:rsidRPr="00E15BB3">
              <w:rPr>
                <w:rFonts w:eastAsia="Times New Roman" w:cs="Times New Roman"/>
                <w:color w:val="000000"/>
                <w:lang w:eastAsia="pl-PL"/>
              </w:rPr>
              <w:t>%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0"/>
      <w:footerReference w:type="default" r:id="rId1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19" w:rsidRDefault="006D6919" w:rsidP="00E432E1">
      <w:pPr>
        <w:spacing w:line="240" w:lineRule="auto"/>
      </w:pPr>
      <w:r>
        <w:separator/>
      </w:r>
    </w:p>
  </w:endnote>
  <w:endnote w:type="continuationSeparator" w:id="0">
    <w:p w:rsidR="006D6919" w:rsidRDefault="006D6919" w:rsidP="00E432E1">
      <w:pPr>
        <w:spacing w:line="240" w:lineRule="auto"/>
      </w:pPr>
      <w:r>
        <w:continuationSeparator/>
      </w:r>
    </w:p>
  </w:endnote>
  <w:endnote w:type="continuationNotice" w:id="1">
    <w:p w:rsidR="006D6919" w:rsidRDefault="006D69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970E7C">
              <w:rPr>
                <w:b/>
                <w:bCs/>
                <w:noProof/>
              </w:rPr>
              <w:t>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970E7C">
              <w:rPr>
                <w:b/>
                <w:bCs/>
                <w:noProof/>
              </w:rPr>
              <w:t>6</w:t>
            </w:r>
            <w:r w:rsidR="008E0353">
              <w:rPr>
                <w:b/>
                <w:bCs/>
                <w:sz w:val="24"/>
                <w:szCs w:val="24"/>
              </w:rPr>
              <w:fldChar w:fldCharType="end"/>
            </w:r>
          </w:p>
        </w:sdtContent>
      </w:sdt>
    </w:sdtContent>
  </w:sdt>
  <w:p w:rsidR="00CE2D73" w:rsidRDefault="00CE2D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4D5B08">
              <w:rPr>
                <w:b/>
                <w:bCs/>
                <w:noProof/>
              </w:rPr>
              <w:t>80</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4D5B08">
              <w:rPr>
                <w:b/>
                <w:bCs/>
                <w:noProof/>
              </w:rPr>
              <w:t>81</w:t>
            </w:r>
            <w:r w:rsidR="008E0353">
              <w:rPr>
                <w:b/>
                <w:bCs/>
                <w:sz w:val="24"/>
                <w:szCs w:val="24"/>
              </w:rPr>
              <w:fldChar w:fldCharType="end"/>
            </w:r>
          </w:p>
        </w:sdtContent>
      </w:sdt>
    </w:sdtContent>
  </w:sdt>
  <w:p w:rsidR="00CE2D73" w:rsidRDefault="00CE2D7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4D5B08">
              <w:rPr>
                <w:b/>
                <w:bCs/>
                <w:noProof/>
              </w:rPr>
              <w:t>95</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4D5B08">
              <w:rPr>
                <w:b/>
                <w:bCs/>
                <w:noProof/>
              </w:rPr>
              <w:t>96</w:t>
            </w:r>
            <w:r w:rsidR="008E0353">
              <w:rPr>
                <w:b/>
                <w:bCs/>
                <w:sz w:val="24"/>
                <w:szCs w:val="24"/>
              </w:rPr>
              <w:fldChar w:fldCharType="end"/>
            </w:r>
          </w:p>
        </w:sdtContent>
      </w:sdt>
    </w:sdtContent>
  </w:sdt>
  <w:p w:rsidR="00CE2D73" w:rsidRDefault="00CE2D73">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311</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315</w:t>
            </w:r>
            <w:r w:rsidR="008E0353">
              <w:rPr>
                <w:b/>
                <w:bCs/>
                <w:sz w:val="24"/>
                <w:szCs w:val="24"/>
              </w:rPr>
              <w:fldChar w:fldCharType="end"/>
            </w:r>
          </w:p>
        </w:sdtContent>
      </w:sdt>
    </w:sdtContent>
  </w:sdt>
  <w:p w:rsidR="00CE2D73" w:rsidRDefault="00CE2D73">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316</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317</w:t>
    </w:r>
    <w:r w:rsidR="008E0353">
      <w:rPr>
        <w:b/>
        <w:bCs/>
        <w:sz w:val="24"/>
        <w:szCs w:val="24"/>
      </w:rPr>
      <w:fldChar w:fldCharType="end"/>
    </w:r>
  </w:p>
  <w:p w:rsidR="00CE2D73" w:rsidRDefault="00CE2D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19" w:rsidRDefault="006D6919" w:rsidP="00E432E1">
      <w:pPr>
        <w:spacing w:line="240" w:lineRule="auto"/>
      </w:pPr>
      <w:r>
        <w:separator/>
      </w:r>
    </w:p>
  </w:footnote>
  <w:footnote w:type="continuationSeparator" w:id="0">
    <w:p w:rsidR="006D6919" w:rsidRDefault="006D6919" w:rsidP="00E432E1">
      <w:pPr>
        <w:spacing w:line="240" w:lineRule="auto"/>
      </w:pPr>
      <w:r>
        <w:continuationSeparator/>
      </w:r>
    </w:p>
  </w:footnote>
  <w:footnote w:type="continuationNotice" w:id="1">
    <w:p w:rsidR="006D6919" w:rsidRDefault="006D6919">
      <w:pPr>
        <w:spacing w:line="240" w:lineRule="auto"/>
      </w:pPr>
    </w:p>
  </w:footnote>
  <w:footnote w:id="2">
    <w:p w:rsidR="00CE2D73" w:rsidRDefault="00CE2D73">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CE2D73" w:rsidRPr="007977A1" w:rsidRDefault="00CE2D73"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4">
    <w:p w:rsidR="00CE2D73" w:rsidRPr="00AB7BD0" w:rsidRDefault="00CE2D73"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5">
    <w:p w:rsidR="00CE2D73" w:rsidRPr="00783F01" w:rsidRDefault="00CE2D73"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6">
    <w:p w:rsidR="00CE2D73" w:rsidRPr="007E7FF5" w:rsidRDefault="00CE2D73"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7">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8">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9">
    <w:p w:rsidR="00CE2D73" w:rsidRPr="00063E2C" w:rsidRDefault="00CE2D73"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0">
    <w:p w:rsidR="00CE2D73" w:rsidRPr="007E7FF5" w:rsidRDefault="00CE2D73"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12665D" w:rsidRDefault="00CE2D73"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CE2D73" w:rsidRPr="006F07DD" w:rsidRDefault="00CE2D73" w:rsidP="00857432">
    <w:pPr>
      <w:pStyle w:val="Nagwek"/>
      <w:jc w:val="cente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C53452" w:rsidRDefault="00CE2D73" w:rsidP="00857432">
    <w:pPr>
      <w:pStyle w:val="Nagwek"/>
      <w:jc w:val="cente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Default="00CE2D73"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CE2D73" w:rsidRPr="006F07DD" w:rsidRDefault="00CE2D73" w:rsidP="00857432">
    <w:pPr>
      <w:pStyle w:val="Nagwek"/>
      <w:jc w:val="center"/>
      <w:rPr>
        <w:rFonts w:ascii="Myriad Pro" w:hAnsi="Myriad Pro"/>
        <w:b/>
        <w:sz w:val="14"/>
        <w:szCs w:val="14"/>
      </w:rP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DC6B7D" w:rsidRDefault="00CE2D73" w:rsidP="00E25DA1">
    <w:pPr>
      <w:pStyle w:val="Nagwek"/>
      <w:jc w:val="center"/>
    </w:pPr>
    <w:r>
      <w:rPr>
        <w:rFonts w:ascii="MyriadPro-Bold" w:hAnsi="MyriadPro-Bold" w:cs="MyriadPro-Bold"/>
        <w:b/>
        <w:bCs/>
        <w:sz w:val="16"/>
        <w:szCs w:val="16"/>
      </w:rPr>
      <w:t>IX INFRASTRUKTURA PUBLICZNA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CE2D73" w:rsidRPr="00D73206" w:rsidRDefault="00CE2D73" w:rsidP="00D73206">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27853"/>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6">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7">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3">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1">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3">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6">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9">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0">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0">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2">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8">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1">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3">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6">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0">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2">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9">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90">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5">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7">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1">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3">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9">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1">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4">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2">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3">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9">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0">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1">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2">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4">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0">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0">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3">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4">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2">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2">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0">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7">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5">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6">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9"/>
  </w:num>
  <w:num w:numId="2">
    <w:abstractNumId w:val="240"/>
  </w:num>
  <w:num w:numId="3">
    <w:abstractNumId w:val="168"/>
  </w:num>
  <w:num w:numId="4">
    <w:abstractNumId w:val="283"/>
  </w:num>
  <w:num w:numId="5">
    <w:abstractNumId w:val="163"/>
  </w:num>
  <w:num w:numId="6">
    <w:abstractNumId w:val="31"/>
  </w:num>
  <w:num w:numId="7">
    <w:abstractNumId w:val="445"/>
  </w:num>
  <w:num w:numId="8">
    <w:abstractNumId w:val="455"/>
  </w:num>
  <w:num w:numId="9">
    <w:abstractNumId w:val="426"/>
  </w:num>
  <w:num w:numId="10">
    <w:abstractNumId w:val="435"/>
  </w:num>
  <w:num w:numId="11">
    <w:abstractNumId w:val="424"/>
  </w:num>
  <w:num w:numId="12">
    <w:abstractNumId w:val="224"/>
  </w:num>
  <w:num w:numId="13">
    <w:abstractNumId w:val="295"/>
  </w:num>
  <w:num w:numId="14">
    <w:abstractNumId w:val="25"/>
  </w:num>
  <w:num w:numId="15">
    <w:abstractNumId w:val="396"/>
  </w:num>
  <w:num w:numId="16">
    <w:abstractNumId w:val="78"/>
  </w:num>
  <w:num w:numId="17">
    <w:abstractNumId w:val="190"/>
  </w:num>
  <w:num w:numId="18">
    <w:abstractNumId w:val="287"/>
  </w:num>
  <w:num w:numId="19">
    <w:abstractNumId w:val="24"/>
  </w:num>
  <w:num w:numId="20">
    <w:abstractNumId w:val="434"/>
  </w:num>
  <w:num w:numId="21">
    <w:abstractNumId w:val="219"/>
  </w:num>
  <w:num w:numId="22">
    <w:abstractNumId w:val="65"/>
  </w:num>
  <w:num w:numId="23">
    <w:abstractNumId w:val="76"/>
  </w:num>
  <w:num w:numId="24">
    <w:abstractNumId w:val="166"/>
  </w:num>
  <w:num w:numId="25">
    <w:abstractNumId w:val="152"/>
  </w:num>
  <w:num w:numId="26">
    <w:abstractNumId w:val="157"/>
  </w:num>
  <w:num w:numId="27">
    <w:abstractNumId w:val="183"/>
  </w:num>
  <w:num w:numId="28">
    <w:abstractNumId w:val="195"/>
  </w:num>
  <w:num w:numId="29">
    <w:abstractNumId w:val="8"/>
  </w:num>
  <w:num w:numId="30">
    <w:abstractNumId w:val="395"/>
  </w:num>
  <w:num w:numId="31">
    <w:abstractNumId w:val="339"/>
  </w:num>
  <w:num w:numId="32">
    <w:abstractNumId w:val="177"/>
  </w:num>
  <w:num w:numId="33">
    <w:abstractNumId w:val="443"/>
  </w:num>
  <w:num w:numId="34">
    <w:abstractNumId w:val="62"/>
  </w:num>
  <w:num w:numId="35">
    <w:abstractNumId w:val="247"/>
  </w:num>
  <w:num w:numId="36">
    <w:abstractNumId w:val="237"/>
  </w:num>
  <w:num w:numId="37">
    <w:abstractNumId w:val="74"/>
  </w:num>
  <w:num w:numId="38">
    <w:abstractNumId w:val="323"/>
  </w:num>
  <w:num w:numId="39">
    <w:abstractNumId w:val="251"/>
  </w:num>
  <w:num w:numId="40">
    <w:abstractNumId w:val="120"/>
  </w:num>
  <w:num w:numId="41">
    <w:abstractNumId w:val="449"/>
  </w:num>
  <w:num w:numId="42">
    <w:abstractNumId w:val="41"/>
  </w:num>
  <w:num w:numId="43">
    <w:abstractNumId w:val="397"/>
  </w:num>
  <w:num w:numId="44">
    <w:abstractNumId w:val="249"/>
  </w:num>
  <w:num w:numId="45">
    <w:abstractNumId w:val="451"/>
  </w:num>
  <w:num w:numId="46">
    <w:abstractNumId w:val="187"/>
  </w:num>
  <w:num w:numId="47">
    <w:abstractNumId w:val="158"/>
  </w:num>
  <w:num w:numId="48">
    <w:abstractNumId w:val="66"/>
  </w:num>
  <w:num w:numId="49">
    <w:abstractNumId w:val="87"/>
  </w:num>
  <w:num w:numId="50">
    <w:abstractNumId w:val="401"/>
  </w:num>
  <w:num w:numId="51">
    <w:abstractNumId w:val="462"/>
  </w:num>
  <w:num w:numId="52">
    <w:abstractNumId w:val="103"/>
  </w:num>
  <w:num w:numId="53">
    <w:abstractNumId w:val="171"/>
  </w:num>
  <w:num w:numId="54">
    <w:abstractNumId w:val="256"/>
  </w:num>
  <w:num w:numId="55">
    <w:abstractNumId w:val="236"/>
  </w:num>
  <w:num w:numId="56">
    <w:abstractNumId w:val="77"/>
  </w:num>
  <w:num w:numId="57">
    <w:abstractNumId w:val="147"/>
  </w:num>
  <w:num w:numId="58">
    <w:abstractNumId w:val="176"/>
  </w:num>
  <w:num w:numId="59">
    <w:abstractNumId w:val="405"/>
  </w:num>
  <w:num w:numId="60">
    <w:abstractNumId w:val="438"/>
  </w:num>
  <w:num w:numId="61">
    <w:abstractNumId w:val="383"/>
  </w:num>
  <w:num w:numId="62">
    <w:abstractNumId w:val="457"/>
  </w:num>
  <w:num w:numId="63">
    <w:abstractNumId w:val="313"/>
  </w:num>
  <w:num w:numId="64">
    <w:abstractNumId w:val="241"/>
  </w:num>
  <w:num w:numId="65">
    <w:abstractNumId w:val="297"/>
  </w:num>
  <w:num w:numId="66">
    <w:abstractNumId w:val="45"/>
  </w:num>
  <w:num w:numId="67">
    <w:abstractNumId w:val="188"/>
  </w:num>
  <w:num w:numId="68">
    <w:abstractNumId w:val="255"/>
  </w:num>
  <w:num w:numId="69">
    <w:abstractNumId w:val="280"/>
  </w:num>
  <w:num w:numId="70">
    <w:abstractNumId w:val="377"/>
  </w:num>
  <w:num w:numId="71">
    <w:abstractNumId w:val="70"/>
  </w:num>
  <w:num w:numId="72">
    <w:abstractNumId w:val="398"/>
  </w:num>
  <w:num w:numId="73">
    <w:abstractNumId w:val="161"/>
  </w:num>
  <w:num w:numId="74">
    <w:abstractNumId w:val="136"/>
  </w:num>
  <w:num w:numId="75">
    <w:abstractNumId w:val="275"/>
  </w:num>
  <w:num w:numId="76">
    <w:abstractNumId w:val="50"/>
  </w:num>
  <w:num w:numId="77">
    <w:abstractNumId w:val="53"/>
  </w:num>
  <w:num w:numId="78">
    <w:abstractNumId w:val="167"/>
  </w:num>
  <w:num w:numId="79">
    <w:abstractNumId w:val="6"/>
  </w:num>
  <w:num w:numId="80">
    <w:abstractNumId w:val="473"/>
  </w:num>
  <w:num w:numId="81">
    <w:abstractNumId w:val="399"/>
  </w:num>
  <w:num w:numId="82">
    <w:abstractNumId w:val="210"/>
  </w:num>
  <w:num w:numId="83">
    <w:abstractNumId w:val="84"/>
  </w:num>
  <w:num w:numId="84">
    <w:abstractNumId w:val="402"/>
  </w:num>
  <w:num w:numId="85">
    <w:abstractNumId w:val="194"/>
  </w:num>
  <w:num w:numId="86">
    <w:abstractNumId w:val="164"/>
  </w:num>
  <w:num w:numId="87">
    <w:abstractNumId w:val="344"/>
  </w:num>
  <w:num w:numId="88">
    <w:abstractNumId w:val="298"/>
  </w:num>
  <w:num w:numId="89">
    <w:abstractNumId w:val="441"/>
  </w:num>
  <w:num w:numId="90">
    <w:abstractNumId w:val="44"/>
  </w:num>
  <w:num w:numId="91">
    <w:abstractNumId w:val="106"/>
  </w:num>
  <w:num w:numId="92">
    <w:abstractNumId w:val="229"/>
  </w:num>
  <w:num w:numId="93">
    <w:abstractNumId w:val="370"/>
  </w:num>
  <w:num w:numId="94">
    <w:abstractNumId w:val="371"/>
  </w:num>
  <w:num w:numId="95">
    <w:abstractNumId w:val="440"/>
  </w:num>
  <w:num w:numId="96">
    <w:abstractNumId w:val="266"/>
  </w:num>
  <w:num w:numId="97">
    <w:abstractNumId w:val="100"/>
  </w:num>
  <w:num w:numId="98">
    <w:abstractNumId w:val="406"/>
  </w:num>
  <w:num w:numId="99">
    <w:abstractNumId w:val="364"/>
  </w:num>
  <w:num w:numId="100">
    <w:abstractNumId w:val="305"/>
  </w:num>
  <w:num w:numId="101">
    <w:abstractNumId w:val="474"/>
  </w:num>
  <w:num w:numId="102">
    <w:abstractNumId w:val="71"/>
  </w:num>
  <w:num w:numId="103">
    <w:abstractNumId w:val="286"/>
  </w:num>
  <w:num w:numId="104">
    <w:abstractNumId w:val="138"/>
  </w:num>
  <w:num w:numId="105">
    <w:abstractNumId w:val="329"/>
  </w:num>
  <w:num w:numId="106">
    <w:abstractNumId w:val="289"/>
  </w:num>
  <w:num w:numId="107">
    <w:abstractNumId w:val="17"/>
  </w:num>
  <w:num w:numId="108">
    <w:abstractNumId w:val="418"/>
  </w:num>
  <w:num w:numId="109">
    <w:abstractNumId w:val="248"/>
  </w:num>
  <w:num w:numId="110">
    <w:abstractNumId w:val="309"/>
  </w:num>
  <w:num w:numId="111">
    <w:abstractNumId w:val="379"/>
  </w:num>
  <w:num w:numId="112">
    <w:abstractNumId w:val="198"/>
  </w:num>
  <w:num w:numId="113">
    <w:abstractNumId w:val="126"/>
  </w:num>
  <w:num w:numId="114">
    <w:abstractNumId w:val="122"/>
  </w:num>
  <w:num w:numId="115">
    <w:abstractNumId w:val="258"/>
  </w:num>
  <w:num w:numId="116">
    <w:abstractNumId w:val="244"/>
  </w:num>
  <w:num w:numId="117">
    <w:abstractNumId w:val="352"/>
  </w:num>
  <w:num w:numId="118">
    <w:abstractNumId w:val="382"/>
  </w:num>
  <w:num w:numId="119">
    <w:abstractNumId w:val="153"/>
  </w:num>
  <w:num w:numId="120">
    <w:abstractNumId w:val="259"/>
  </w:num>
  <w:num w:numId="121">
    <w:abstractNumId w:val="51"/>
  </w:num>
  <w:num w:numId="122">
    <w:abstractNumId w:val="162"/>
  </w:num>
  <w:num w:numId="123">
    <w:abstractNumId w:val="284"/>
  </w:num>
  <w:num w:numId="124">
    <w:abstractNumId w:val="366"/>
  </w:num>
  <w:num w:numId="125">
    <w:abstractNumId w:val="90"/>
  </w:num>
  <w:num w:numId="126">
    <w:abstractNumId w:val="470"/>
  </w:num>
  <w:num w:numId="127">
    <w:abstractNumId w:val="367"/>
  </w:num>
  <w:num w:numId="128">
    <w:abstractNumId w:val="108"/>
  </w:num>
  <w:num w:numId="129">
    <w:abstractNumId w:val="340"/>
  </w:num>
  <w:num w:numId="130">
    <w:abstractNumId w:val="222"/>
  </w:num>
  <w:num w:numId="131">
    <w:abstractNumId w:val="472"/>
  </w:num>
  <w:num w:numId="132">
    <w:abstractNumId w:val="306"/>
  </w:num>
  <w:num w:numId="133">
    <w:abstractNumId w:val="143"/>
  </w:num>
  <w:num w:numId="134">
    <w:abstractNumId w:val="411"/>
  </w:num>
  <w:num w:numId="135">
    <w:abstractNumId w:val="454"/>
  </w:num>
  <w:num w:numId="136">
    <w:abstractNumId w:val="46"/>
  </w:num>
  <w:num w:numId="137">
    <w:abstractNumId w:val="427"/>
  </w:num>
  <w:num w:numId="138">
    <w:abstractNumId w:val="130"/>
  </w:num>
  <w:num w:numId="139">
    <w:abstractNumId w:val="39"/>
  </w:num>
  <w:num w:numId="140">
    <w:abstractNumId w:val="281"/>
  </w:num>
  <w:num w:numId="141">
    <w:abstractNumId w:val="181"/>
  </w:num>
  <w:num w:numId="142">
    <w:abstractNumId w:val="13"/>
  </w:num>
  <w:num w:numId="143">
    <w:abstractNumId w:val="14"/>
  </w:num>
  <w:num w:numId="144">
    <w:abstractNumId w:val="233"/>
  </w:num>
  <w:num w:numId="145">
    <w:abstractNumId w:val="220"/>
  </w:num>
  <w:num w:numId="146">
    <w:abstractNumId w:val="182"/>
  </w:num>
  <w:num w:numId="147">
    <w:abstractNumId w:val="433"/>
  </w:num>
  <w:num w:numId="148">
    <w:abstractNumId w:val="301"/>
  </w:num>
  <w:num w:numId="149">
    <w:abstractNumId w:val="238"/>
  </w:num>
  <w:num w:numId="150">
    <w:abstractNumId w:val="93"/>
  </w:num>
  <w:num w:numId="151">
    <w:abstractNumId w:val="115"/>
  </w:num>
  <w:num w:numId="152">
    <w:abstractNumId w:val="98"/>
  </w:num>
  <w:num w:numId="153">
    <w:abstractNumId w:val="293"/>
  </w:num>
  <w:num w:numId="154">
    <w:abstractNumId w:val="420"/>
  </w:num>
  <w:num w:numId="155">
    <w:abstractNumId w:val="416"/>
  </w:num>
  <w:num w:numId="156">
    <w:abstractNumId w:val="302"/>
  </w:num>
  <w:num w:numId="157">
    <w:abstractNumId w:val="104"/>
  </w:num>
  <w:num w:numId="158">
    <w:abstractNumId w:val="47"/>
  </w:num>
  <w:num w:numId="159">
    <w:abstractNumId w:val="189"/>
  </w:num>
  <w:num w:numId="160">
    <w:abstractNumId w:val="127"/>
  </w:num>
  <w:num w:numId="161">
    <w:abstractNumId w:val="64"/>
  </w:num>
  <w:num w:numId="162">
    <w:abstractNumId w:val="160"/>
  </w:num>
  <w:num w:numId="163">
    <w:abstractNumId w:val="353"/>
  </w:num>
  <w:num w:numId="164">
    <w:abstractNumId w:val="96"/>
  </w:num>
  <w:num w:numId="165">
    <w:abstractNumId w:val="290"/>
  </w:num>
  <w:num w:numId="166">
    <w:abstractNumId w:val="245"/>
  </w:num>
  <w:num w:numId="167">
    <w:abstractNumId w:val="330"/>
  </w:num>
  <w:num w:numId="168">
    <w:abstractNumId w:val="154"/>
  </w:num>
  <w:num w:numId="169">
    <w:abstractNumId w:val="471"/>
  </w:num>
  <w:num w:numId="170">
    <w:abstractNumId w:val="174"/>
  </w:num>
  <w:num w:numId="171">
    <w:abstractNumId w:val="69"/>
  </w:num>
  <w:num w:numId="172">
    <w:abstractNumId w:val="28"/>
  </w:num>
  <w:num w:numId="173">
    <w:abstractNumId w:val="336"/>
  </w:num>
  <w:num w:numId="174">
    <w:abstractNumId w:val="218"/>
  </w:num>
  <w:num w:numId="175">
    <w:abstractNumId w:val="216"/>
  </w:num>
  <w:num w:numId="176">
    <w:abstractNumId w:val="5"/>
  </w:num>
  <w:num w:numId="177">
    <w:abstractNumId w:val="197"/>
  </w:num>
  <w:num w:numId="178">
    <w:abstractNumId w:val="172"/>
  </w:num>
  <w:num w:numId="179">
    <w:abstractNumId w:val="375"/>
  </w:num>
  <w:num w:numId="180">
    <w:abstractNumId w:val="73"/>
  </w:num>
  <w:num w:numId="181">
    <w:abstractNumId w:val="428"/>
  </w:num>
  <w:num w:numId="182">
    <w:abstractNumId w:val="270"/>
  </w:num>
  <w:num w:numId="183">
    <w:abstractNumId w:val="113"/>
  </w:num>
  <w:num w:numId="184">
    <w:abstractNumId w:val="264"/>
  </w:num>
  <w:num w:numId="185">
    <w:abstractNumId w:val="101"/>
  </w:num>
  <w:num w:numId="186">
    <w:abstractNumId w:val="459"/>
  </w:num>
  <w:num w:numId="187">
    <w:abstractNumId w:val="448"/>
  </w:num>
  <w:num w:numId="188">
    <w:abstractNumId w:val="239"/>
  </w:num>
  <w:num w:numId="189">
    <w:abstractNumId w:val="191"/>
  </w:num>
  <w:num w:numId="190">
    <w:abstractNumId w:val="204"/>
  </w:num>
  <w:num w:numId="191">
    <w:abstractNumId w:val="267"/>
  </w:num>
  <w:num w:numId="192">
    <w:abstractNumId w:val="425"/>
  </w:num>
  <w:num w:numId="193">
    <w:abstractNumId w:val="33"/>
  </w:num>
  <w:num w:numId="194">
    <w:abstractNumId w:val="450"/>
  </w:num>
  <w:num w:numId="195">
    <w:abstractNumId w:val="331"/>
  </w:num>
  <w:num w:numId="196">
    <w:abstractNumId w:val="242"/>
  </w:num>
  <w:num w:numId="197">
    <w:abstractNumId w:val="169"/>
  </w:num>
  <w:num w:numId="198">
    <w:abstractNumId w:val="335"/>
  </w:num>
  <w:num w:numId="199">
    <w:abstractNumId w:val="56"/>
  </w:num>
  <w:num w:numId="200">
    <w:abstractNumId w:val="2"/>
  </w:num>
  <w:num w:numId="201">
    <w:abstractNumId w:val="12"/>
  </w:num>
  <w:num w:numId="202">
    <w:abstractNumId w:val="155"/>
  </w:num>
  <w:num w:numId="203">
    <w:abstractNumId w:val="319"/>
  </w:num>
  <w:num w:numId="204">
    <w:abstractNumId w:val="178"/>
  </w:num>
  <w:num w:numId="205">
    <w:abstractNumId w:val="342"/>
  </w:num>
  <w:num w:numId="206">
    <w:abstractNumId w:val="23"/>
  </w:num>
  <w:num w:numId="207">
    <w:abstractNumId w:val="213"/>
  </w:num>
  <w:num w:numId="208">
    <w:abstractNumId w:val="232"/>
  </w:num>
  <w:num w:numId="209">
    <w:abstractNumId w:val="386"/>
  </w:num>
  <w:num w:numId="210">
    <w:abstractNumId w:val="19"/>
  </w:num>
  <w:num w:numId="211">
    <w:abstractNumId w:val="211"/>
  </w:num>
  <w:num w:numId="212">
    <w:abstractNumId w:val="225"/>
  </w:num>
  <w:num w:numId="213">
    <w:abstractNumId w:val="404"/>
  </w:num>
  <w:num w:numId="214">
    <w:abstractNumId w:val="114"/>
  </w:num>
  <w:num w:numId="215">
    <w:abstractNumId w:val="185"/>
  </w:num>
  <w:num w:numId="216">
    <w:abstractNumId w:val="9"/>
  </w:num>
  <w:num w:numId="217">
    <w:abstractNumId w:val="193"/>
  </w:num>
  <w:num w:numId="218">
    <w:abstractNumId w:val="355"/>
  </w:num>
  <w:num w:numId="219">
    <w:abstractNumId w:val="20"/>
  </w:num>
  <w:num w:numId="220">
    <w:abstractNumId w:val="234"/>
  </w:num>
  <w:num w:numId="221">
    <w:abstractNumId w:val="385"/>
  </w:num>
  <w:num w:numId="222">
    <w:abstractNumId w:val="139"/>
  </w:num>
  <w:num w:numId="223">
    <w:abstractNumId w:val="307"/>
  </w:num>
  <w:num w:numId="224">
    <w:abstractNumId w:val="38"/>
  </w:num>
  <w:num w:numId="225">
    <w:abstractNumId w:val="422"/>
  </w:num>
  <w:num w:numId="226">
    <w:abstractNumId w:val="215"/>
  </w:num>
  <w:num w:numId="227">
    <w:abstractNumId w:val="294"/>
  </w:num>
  <w:num w:numId="228">
    <w:abstractNumId w:val="60"/>
  </w:num>
  <w:num w:numId="229">
    <w:abstractNumId w:val="458"/>
  </w:num>
  <w:num w:numId="230">
    <w:abstractNumId w:val="63"/>
  </w:num>
  <w:num w:numId="231">
    <w:abstractNumId w:val="277"/>
  </w:num>
  <w:num w:numId="232">
    <w:abstractNumId w:val="316"/>
  </w:num>
  <w:num w:numId="233">
    <w:abstractNumId w:val="109"/>
  </w:num>
  <w:num w:numId="234">
    <w:abstractNumId w:val="276"/>
  </w:num>
  <w:num w:numId="235">
    <w:abstractNumId w:val="10"/>
  </w:num>
  <w:num w:numId="236">
    <w:abstractNumId w:val="446"/>
  </w:num>
  <w:num w:numId="237">
    <w:abstractNumId w:val="317"/>
  </w:num>
  <w:num w:numId="238">
    <w:abstractNumId w:val="118"/>
  </w:num>
  <w:num w:numId="239">
    <w:abstractNumId w:val="392"/>
  </w:num>
  <w:num w:numId="240">
    <w:abstractNumId w:val="419"/>
  </w:num>
  <w:num w:numId="241">
    <w:abstractNumId w:val="42"/>
  </w:num>
  <w:num w:numId="242">
    <w:abstractNumId w:val="400"/>
  </w:num>
  <w:num w:numId="243">
    <w:abstractNumId w:val="43"/>
  </w:num>
  <w:num w:numId="244">
    <w:abstractNumId w:val="15"/>
  </w:num>
  <w:num w:numId="245">
    <w:abstractNumId w:val="345"/>
  </w:num>
  <w:num w:numId="246">
    <w:abstractNumId w:val="141"/>
  </w:num>
  <w:num w:numId="247">
    <w:abstractNumId w:val="95"/>
  </w:num>
  <w:num w:numId="248">
    <w:abstractNumId w:val="75"/>
  </w:num>
  <w:num w:numId="249">
    <w:abstractNumId w:val="26"/>
  </w:num>
  <w:num w:numId="250">
    <w:abstractNumId w:val="269"/>
  </w:num>
  <w:num w:numId="251">
    <w:abstractNumId w:val="35"/>
  </w:num>
  <w:num w:numId="252">
    <w:abstractNumId w:val="253"/>
  </w:num>
  <w:num w:numId="253">
    <w:abstractNumId w:val="299"/>
  </w:num>
  <w:num w:numId="254">
    <w:abstractNumId w:val="223"/>
  </w:num>
  <w:num w:numId="255">
    <w:abstractNumId w:val="58"/>
  </w:num>
  <w:num w:numId="256">
    <w:abstractNumId w:val="140"/>
  </w:num>
  <w:num w:numId="257">
    <w:abstractNumId w:val="121"/>
  </w:num>
  <w:num w:numId="258">
    <w:abstractNumId w:val="203"/>
  </w:num>
  <w:num w:numId="259">
    <w:abstractNumId w:val="145"/>
  </w:num>
  <w:num w:numId="260">
    <w:abstractNumId w:val="32"/>
  </w:num>
  <w:num w:numId="261">
    <w:abstractNumId w:val="282"/>
  </w:num>
  <w:num w:numId="262">
    <w:abstractNumId w:val="437"/>
  </w:num>
  <w:num w:numId="263">
    <w:abstractNumId w:val="102"/>
  </w:num>
  <w:num w:numId="264">
    <w:abstractNumId w:val="343"/>
  </w:num>
  <w:num w:numId="265">
    <w:abstractNumId w:val="262"/>
  </w:num>
  <w:num w:numId="266">
    <w:abstractNumId w:val="475"/>
  </w:num>
  <w:num w:numId="267">
    <w:abstractNumId w:val="52"/>
  </w:num>
  <w:num w:numId="268">
    <w:abstractNumId w:val="202"/>
  </w:num>
  <w:num w:numId="269">
    <w:abstractNumId w:val="439"/>
  </w:num>
  <w:num w:numId="270">
    <w:abstractNumId w:val="184"/>
  </w:num>
  <w:num w:numId="271">
    <w:abstractNumId w:val="97"/>
  </w:num>
  <w:num w:numId="272">
    <w:abstractNumId w:val="300"/>
  </w:num>
  <w:num w:numId="273">
    <w:abstractNumId w:val="231"/>
  </w:num>
  <w:num w:numId="274">
    <w:abstractNumId w:val="456"/>
  </w:num>
  <w:num w:numId="275">
    <w:abstractNumId w:val="142"/>
  </w:num>
  <w:num w:numId="276">
    <w:abstractNumId w:val="292"/>
  </w:num>
  <w:num w:numId="277">
    <w:abstractNumId w:val="117"/>
  </w:num>
  <w:num w:numId="278">
    <w:abstractNumId w:val="431"/>
  </w:num>
  <w:num w:numId="279">
    <w:abstractNumId w:val="1"/>
  </w:num>
  <w:num w:numId="280">
    <w:abstractNumId w:val="350"/>
  </w:num>
  <w:num w:numId="281">
    <w:abstractNumId w:val="362"/>
  </w:num>
  <w:num w:numId="282">
    <w:abstractNumId w:val="144"/>
  </w:num>
  <w:num w:numId="283">
    <w:abstractNumId w:val="125"/>
  </w:num>
  <w:num w:numId="284">
    <w:abstractNumId w:val="250"/>
  </w:num>
  <w:num w:numId="285">
    <w:abstractNumId w:val="137"/>
  </w:num>
  <w:num w:numId="286">
    <w:abstractNumId w:val="414"/>
  </w:num>
  <w:num w:numId="287">
    <w:abstractNumId w:val="384"/>
  </w:num>
  <w:num w:numId="288">
    <w:abstractNumId w:val="116"/>
  </w:num>
  <w:num w:numId="289">
    <w:abstractNumId w:val="85"/>
  </w:num>
  <w:num w:numId="290">
    <w:abstractNumId w:val="175"/>
  </w:num>
  <w:num w:numId="291">
    <w:abstractNumId w:val="369"/>
  </w:num>
  <w:num w:numId="292">
    <w:abstractNumId w:val="447"/>
  </w:num>
  <w:num w:numId="293">
    <w:abstractNumId w:val="461"/>
  </w:num>
  <w:num w:numId="294">
    <w:abstractNumId w:val="165"/>
  </w:num>
  <w:num w:numId="295">
    <w:abstractNumId w:val="389"/>
  </w:num>
  <w:num w:numId="296">
    <w:abstractNumId w:val="179"/>
  </w:num>
  <w:num w:numId="297">
    <w:abstractNumId w:val="196"/>
  </w:num>
  <w:num w:numId="298">
    <w:abstractNumId w:val="341"/>
  </w:num>
  <w:num w:numId="299">
    <w:abstractNumId w:val="380"/>
  </w:num>
  <w:num w:numId="300">
    <w:abstractNumId w:val="381"/>
  </w:num>
  <w:num w:numId="301">
    <w:abstractNumId w:val="206"/>
  </w:num>
  <w:num w:numId="302">
    <w:abstractNumId w:val="324"/>
  </w:num>
  <w:num w:numId="303">
    <w:abstractNumId w:val="467"/>
  </w:num>
  <w:num w:numId="304">
    <w:abstractNumId w:val="57"/>
  </w:num>
  <w:num w:numId="305">
    <w:abstractNumId w:val="478"/>
  </w:num>
  <w:num w:numId="306">
    <w:abstractNumId w:val="432"/>
  </w:num>
  <w:num w:numId="307">
    <w:abstractNumId w:val="207"/>
  </w:num>
  <w:num w:numId="308">
    <w:abstractNumId w:val="29"/>
  </w:num>
  <w:num w:numId="309">
    <w:abstractNumId w:val="119"/>
  </w:num>
  <w:num w:numId="310">
    <w:abstractNumId w:val="110"/>
  </w:num>
  <w:num w:numId="311">
    <w:abstractNumId w:val="356"/>
  </w:num>
  <w:num w:numId="312">
    <w:abstractNumId w:val="304"/>
  </w:num>
  <w:num w:numId="313">
    <w:abstractNumId w:val="230"/>
  </w:num>
  <w:num w:numId="314">
    <w:abstractNumId w:val="315"/>
  </w:num>
  <w:num w:numId="315">
    <w:abstractNumId w:val="257"/>
  </w:num>
  <w:num w:numId="316">
    <w:abstractNumId w:val="246"/>
  </w:num>
  <w:num w:numId="317">
    <w:abstractNumId w:val="228"/>
  </w:num>
  <w:num w:numId="318">
    <w:abstractNumId w:val="393"/>
  </w:num>
  <w:num w:numId="319">
    <w:abstractNumId w:val="409"/>
  </w:num>
  <w:num w:numId="320">
    <w:abstractNumId w:val="308"/>
  </w:num>
  <w:num w:numId="321">
    <w:abstractNumId w:val="217"/>
  </w:num>
  <w:num w:numId="322">
    <w:abstractNumId w:val="296"/>
  </w:num>
  <w:num w:numId="323">
    <w:abstractNumId w:val="55"/>
  </w:num>
  <w:num w:numId="324">
    <w:abstractNumId w:val="327"/>
  </w:num>
  <w:num w:numId="325">
    <w:abstractNumId w:val="40"/>
  </w:num>
  <w:num w:numId="326">
    <w:abstractNumId w:val="208"/>
  </w:num>
  <w:num w:numId="327">
    <w:abstractNumId w:val="4"/>
  </w:num>
  <w:num w:numId="328">
    <w:abstractNumId w:val="111"/>
  </w:num>
  <w:num w:numId="329">
    <w:abstractNumId w:val="388"/>
  </w:num>
  <w:num w:numId="330">
    <w:abstractNumId w:val="79"/>
  </w:num>
  <w:num w:numId="331">
    <w:abstractNumId w:val="349"/>
  </w:num>
  <w:num w:numId="332">
    <w:abstractNumId w:val="310"/>
  </w:num>
  <w:num w:numId="333">
    <w:abstractNumId w:val="3"/>
  </w:num>
  <w:num w:numId="334">
    <w:abstractNumId w:val="212"/>
  </w:num>
  <w:num w:numId="335">
    <w:abstractNumId w:val="466"/>
  </w:num>
  <w:num w:numId="336">
    <w:abstractNumId w:val="37"/>
  </w:num>
  <w:num w:numId="337">
    <w:abstractNumId w:val="274"/>
  </w:num>
  <w:num w:numId="338">
    <w:abstractNumId w:val="272"/>
  </w:num>
  <w:num w:numId="339">
    <w:abstractNumId w:val="468"/>
  </w:num>
  <w:num w:numId="340">
    <w:abstractNumId w:val="453"/>
  </w:num>
  <w:num w:numId="341">
    <w:abstractNumId w:val="254"/>
  </w:num>
  <w:num w:numId="342">
    <w:abstractNumId w:val="67"/>
  </w:num>
  <w:num w:numId="343">
    <w:abstractNumId w:val="358"/>
  </w:num>
  <w:num w:numId="344">
    <w:abstractNumId w:val="227"/>
  </w:num>
  <w:num w:numId="345">
    <w:abstractNumId w:val="271"/>
  </w:num>
  <w:num w:numId="346">
    <w:abstractNumId w:val="89"/>
  </w:num>
  <w:num w:numId="347">
    <w:abstractNumId w:val="320"/>
  </w:num>
  <w:num w:numId="348">
    <w:abstractNumId w:val="221"/>
  </w:num>
  <w:num w:numId="349">
    <w:abstractNumId w:val="80"/>
  </w:num>
  <w:num w:numId="350">
    <w:abstractNumId w:val="408"/>
  </w:num>
  <w:num w:numId="351">
    <w:abstractNumId w:val="99"/>
  </w:num>
  <w:num w:numId="352">
    <w:abstractNumId w:val="334"/>
  </w:num>
  <w:num w:numId="353">
    <w:abstractNumId w:val="469"/>
  </w:num>
  <w:num w:numId="354">
    <w:abstractNumId w:val="407"/>
  </w:num>
  <w:num w:numId="355">
    <w:abstractNumId w:val="21"/>
  </w:num>
  <w:num w:numId="356">
    <w:abstractNumId w:val="148"/>
  </w:num>
  <w:num w:numId="357">
    <w:abstractNumId w:val="421"/>
  </w:num>
  <w:num w:numId="358">
    <w:abstractNumId w:val="403"/>
  </w:num>
  <w:num w:numId="359">
    <w:abstractNumId w:val="149"/>
  </w:num>
  <w:num w:numId="360">
    <w:abstractNumId w:val="200"/>
  </w:num>
  <w:num w:numId="361">
    <w:abstractNumId w:val="146"/>
  </w:num>
  <w:num w:numId="362">
    <w:abstractNumId w:val="303"/>
  </w:num>
  <w:num w:numId="363">
    <w:abstractNumId w:val="357"/>
  </w:num>
  <w:num w:numId="364">
    <w:abstractNumId w:val="94"/>
  </w:num>
  <w:num w:numId="365">
    <w:abstractNumId w:val="412"/>
  </w:num>
  <w:num w:numId="366">
    <w:abstractNumId w:val="417"/>
  </w:num>
  <w:num w:numId="367">
    <w:abstractNumId w:val="170"/>
  </w:num>
  <w:num w:numId="368">
    <w:abstractNumId w:val="265"/>
  </w:num>
  <w:num w:numId="369">
    <w:abstractNumId w:val="27"/>
  </w:num>
  <w:num w:numId="370">
    <w:abstractNumId w:val="333"/>
  </w:num>
  <w:num w:numId="371">
    <w:abstractNumId w:val="285"/>
  </w:num>
  <w:num w:numId="372">
    <w:abstractNumId w:val="363"/>
  </w:num>
  <w:num w:numId="373">
    <w:abstractNumId w:val="332"/>
  </w:num>
  <w:num w:numId="374">
    <w:abstractNumId w:val="128"/>
  </w:num>
  <w:num w:numId="375">
    <w:abstractNumId w:val="107"/>
  </w:num>
  <w:num w:numId="376">
    <w:abstractNumId w:val="314"/>
  </w:num>
  <w:num w:numId="377">
    <w:abstractNumId w:val="91"/>
  </w:num>
  <w:num w:numId="378">
    <w:abstractNumId w:val="463"/>
  </w:num>
  <w:num w:numId="379">
    <w:abstractNumId w:val="326"/>
  </w:num>
  <w:num w:numId="380">
    <w:abstractNumId w:val="123"/>
  </w:num>
  <w:num w:numId="381">
    <w:abstractNumId w:val="243"/>
  </w:num>
  <w:num w:numId="382">
    <w:abstractNumId w:val="348"/>
  </w:num>
  <w:num w:numId="383">
    <w:abstractNumId w:val="390"/>
  </w:num>
  <w:num w:numId="384">
    <w:abstractNumId w:val="273"/>
  </w:num>
  <w:num w:numId="385">
    <w:abstractNumId w:val="460"/>
  </w:num>
  <w:num w:numId="386">
    <w:abstractNumId w:val="328"/>
  </w:num>
  <w:num w:numId="387">
    <w:abstractNumId w:val="81"/>
  </w:num>
  <w:num w:numId="388">
    <w:abstractNumId w:val="452"/>
  </w:num>
  <w:num w:numId="389">
    <w:abstractNumId w:val="48"/>
  </w:num>
  <w:num w:numId="390">
    <w:abstractNumId w:val="372"/>
  </w:num>
  <w:num w:numId="391">
    <w:abstractNumId w:val="476"/>
  </w:num>
  <w:num w:numId="392">
    <w:abstractNumId w:val="192"/>
  </w:num>
  <w:num w:numId="393">
    <w:abstractNumId w:val="291"/>
  </w:num>
  <w:num w:numId="394">
    <w:abstractNumId w:val="86"/>
  </w:num>
  <w:num w:numId="395">
    <w:abstractNumId w:val="346"/>
  </w:num>
  <w:num w:numId="396">
    <w:abstractNumId w:val="429"/>
  </w:num>
  <w:num w:numId="397">
    <w:abstractNumId w:val="263"/>
  </w:num>
  <w:num w:numId="398">
    <w:abstractNumId w:val="59"/>
  </w:num>
  <w:num w:numId="399">
    <w:abstractNumId w:val="354"/>
  </w:num>
  <w:num w:numId="400">
    <w:abstractNumId w:val="88"/>
  </w:num>
  <w:num w:numId="401">
    <w:abstractNumId w:val="351"/>
  </w:num>
  <w:num w:numId="402">
    <w:abstractNumId w:val="338"/>
  </w:num>
  <w:num w:numId="403">
    <w:abstractNumId w:val="376"/>
  </w:num>
  <w:num w:numId="404">
    <w:abstractNumId w:val="129"/>
  </w:num>
  <w:num w:numId="405">
    <w:abstractNumId w:val="11"/>
  </w:num>
  <w:num w:numId="406">
    <w:abstractNumId w:val="359"/>
  </w:num>
  <w:num w:numId="407">
    <w:abstractNumId w:val="112"/>
  </w:num>
  <w:num w:numId="408">
    <w:abstractNumId w:val="373"/>
  </w:num>
  <w:num w:numId="409">
    <w:abstractNumId w:val="131"/>
  </w:num>
  <w:num w:numId="410">
    <w:abstractNumId w:val="260"/>
  </w:num>
  <w:num w:numId="411">
    <w:abstractNumId w:val="49"/>
  </w:num>
  <w:num w:numId="412">
    <w:abstractNumId w:val="235"/>
  </w:num>
  <w:num w:numId="413">
    <w:abstractNumId w:val="105"/>
  </w:num>
  <w:num w:numId="414">
    <w:abstractNumId w:val="134"/>
  </w:num>
  <w:num w:numId="415">
    <w:abstractNumId w:val="22"/>
  </w:num>
  <w:num w:numId="416">
    <w:abstractNumId w:val="465"/>
  </w:num>
  <w:num w:numId="417">
    <w:abstractNumId w:val="214"/>
  </w:num>
  <w:num w:numId="418">
    <w:abstractNumId w:val="444"/>
  </w:num>
  <w:num w:numId="419">
    <w:abstractNumId w:val="413"/>
  </w:num>
  <w:num w:numId="420">
    <w:abstractNumId w:val="318"/>
  </w:num>
  <w:num w:numId="421">
    <w:abstractNumId w:val="442"/>
  </w:num>
  <w:num w:numId="422">
    <w:abstractNumId w:val="436"/>
  </w:num>
  <w:num w:numId="423">
    <w:abstractNumId w:val="186"/>
  </w:num>
  <w:num w:numId="424">
    <w:abstractNumId w:val="61"/>
  </w:num>
  <w:num w:numId="425">
    <w:abstractNumId w:val="415"/>
  </w:num>
  <w:num w:numId="426">
    <w:abstractNumId w:val="159"/>
  </w:num>
  <w:num w:numId="427">
    <w:abstractNumId w:val="16"/>
  </w:num>
  <w:num w:numId="428">
    <w:abstractNumId w:val="347"/>
  </w:num>
  <w:num w:numId="429">
    <w:abstractNumId w:val="288"/>
  </w:num>
  <w:num w:numId="430">
    <w:abstractNumId w:val="226"/>
  </w:num>
  <w:num w:numId="431">
    <w:abstractNumId w:val="321"/>
  </w:num>
  <w:num w:numId="432">
    <w:abstractNumId w:val="374"/>
  </w:num>
  <w:num w:numId="433">
    <w:abstractNumId w:val="368"/>
  </w:num>
  <w:num w:numId="434">
    <w:abstractNumId w:val="199"/>
  </w:num>
  <w:num w:numId="435">
    <w:abstractNumId w:val="201"/>
  </w:num>
  <w:num w:numId="436">
    <w:abstractNumId w:val="410"/>
  </w:num>
  <w:num w:numId="437">
    <w:abstractNumId w:val="423"/>
  </w:num>
  <w:num w:numId="438">
    <w:abstractNumId w:val="151"/>
  </w:num>
  <w:num w:numId="439">
    <w:abstractNumId w:val="311"/>
  </w:num>
  <w:num w:numId="440">
    <w:abstractNumId w:val="391"/>
  </w:num>
  <w:num w:numId="441">
    <w:abstractNumId w:val="18"/>
  </w:num>
  <w:num w:numId="442">
    <w:abstractNumId w:val="7"/>
  </w:num>
  <w:num w:numId="443">
    <w:abstractNumId w:val="180"/>
  </w:num>
  <w:num w:numId="444">
    <w:abstractNumId w:val="261"/>
  </w:num>
  <w:num w:numId="445">
    <w:abstractNumId w:val="54"/>
  </w:num>
  <w:num w:numId="446">
    <w:abstractNumId w:val="322"/>
  </w:num>
  <w:num w:numId="447">
    <w:abstractNumId w:val="360"/>
  </w:num>
  <w:num w:numId="448">
    <w:abstractNumId w:val="279"/>
  </w:num>
  <w:num w:numId="449">
    <w:abstractNumId w:val="278"/>
  </w:num>
  <w:num w:numId="450">
    <w:abstractNumId w:val="36"/>
  </w:num>
  <w:num w:numId="451">
    <w:abstractNumId w:val="464"/>
  </w:num>
  <w:num w:numId="452">
    <w:abstractNumId w:val="34"/>
  </w:num>
  <w:num w:numId="453">
    <w:abstractNumId w:val="92"/>
  </w:num>
  <w:num w:numId="454">
    <w:abstractNumId w:val="30"/>
  </w:num>
  <w:num w:numId="455">
    <w:abstractNumId w:val="337"/>
  </w:num>
  <w:num w:numId="456">
    <w:abstractNumId w:val="430"/>
  </w:num>
  <w:num w:numId="457">
    <w:abstractNumId w:val="378"/>
  </w:num>
  <w:num w:numId="458">
    <w:abstractNumId w:val="394"/>
  </w:num>
  <w:num w:numId="459">
    <w:abstractNumId w:val="150"/>
  </w:num>
  <w:num w:numId="460">
    <w:abstractNumId w:val="365"/>
  </w:num>
  <w:num w:numId="461">
    <w:abstractNumId w:val="325"/>
  </w:num>
  <w:num w:numId="462">
    <w:abstractNumId w:val="72"/>
  </w:num>
  <w:num w:numId="463">
    <w:abstractNumId w:val="477"/>
  </w:num>
  <w:num w:numId="464">
    <w:abstractNumId w:val="387"/>
  </w:num>
  <w:num w:numId="465">
    <w:abstractNumId w:val="124"/>
  </w:num>
  <w:num w:numId="466">
    <w:abstractNumId w:val="133"/>
  </w:num>
  <w:num w:numId="467">
    <w:abstractNumId w:val="3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2"/>
  </w:num>
  <w:num w:numId="469">
    <w:abstractNumId w:val="268"/>
  </w:num>
  <w:num w:numId="470">
    <w:abstractNumId w:val="132"/>
  </w:num>
  <w:num w:numId="471">
    <w:abstractNumId w:val="173"/>
  </w:num>
  <w:num w:numId="472">
    <w:abstractNumId w:val="68"/>
  </w:num>
  <w:num w:numId="473">
    <w:abstractNumId w:val="156"/>
  </w:num>
  <w:num w:numId="474">
    <w:abstractNumId w:val="205"/>
  </w:num>
  <w:num w:numId="475">
    <w:abstractNumId w:val="135"/>
  </w:num>
  <w:num w:numId="476">
    <w:abstractNumId w:val="83"/>
  </w:num>
  <w:num w:numId="477">
    <w:abstractNumId w:val="312"/>
  </w:num>
  <w:num w:numId="478">
    <w:abstractNumId w:val="82"/>
  </w:num>
  <w:numIdMacAtCleanup w:val="47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rson w15:author="Piotr Wolski">
    <w15:presenceInfo w15:providerId="AD" w15:userId="S-1-5-21-3087080317-885096783-902502968-13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A7115"/>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7C"/>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6A59"/>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5B08"/>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646D"/>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664"/>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63CB"/>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018A"/>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6919"/>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456D"/>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1A12"/>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83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5ED4"/>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4BCB"/>
    <w:rsid w:val="008C5E56"/>
    <w:rsid w:val="008C5E73"/>
    <w:rsid w:val="008C7339"/>
    <w:rsid w:val="008D2C64"/>
    <w:rsid w:val="008D2C9E"/>
    <w:rsid w:val="008D34E0"/>
    <w:rsid w:val="008D46BA"/>
    <w:rsid w:val="008D4EB2"/>
    <w:rsid w:val="008D63B9"/>
    <w:rsid w:val="008D65EE"/>
    <w:rsid w:val="008D669C"/>
    <w:rsid w:val="008D746F"/>
    <w:rsid w:val="008E0353"/>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0E7C"/>
    <w:rsid w:val="00971074"/>
    <w:rsid w:val="00971D7A"/>
    <w:rsid w:val="00971EAA"/>
    <w:rsid w:val="00972198"/>
    <w:rsid w:val="00972DAA"/>
    <w:rsid w:val="0097361B"/>
    <w:rsid w:val="00973DF1"/>
    <w:rsid w:val="00974505"/>
    <w:rsid w:val="009747B5"/>
    <w:rsid w:val="00974CF7"/>
    <w:rsid w:val="009758EA"/>
    <w:rsid w:val="00975C8D"/>
    <w:rsid w:val="0097613B"/>
    <w:rsid w:val="00977A3B"/>
    <w:rsid w:val="009814FE"/>
    <w:rsid w:val="00981793"/>
    <w:rsid w:val="00982512"/>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25E9"/>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89D"/>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460D"/>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6CB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12F"/>
    <w:rsid w:val="00D94F99"/>
    <w:rsid w:val="00D94FEE"/>
    <w:rsid w:val="00D956D0"/>
    <w:rsid w:val="00D95C76"/>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2BCE"/>
    <w:rsid w:val="00EF3099"/>
    <w:rsid w:val="00EF33FF"/>
    <w:rsid w:val="00EF572D"/>
    <w:rsid w:val="00EF6771"/>
    <w:rsid w:val="00EF6CE9"/>
    <w:rsid w:val="00EF6EEC"/>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2ECF"/>
    <w:rsid w:val="00F431A7"/>
    <w:rsid w:val="00F43447"/>
    <w:rsid w:val="00F4395F"/>
    <w:rsid w:val="00F444EE"/>
    <w:rsid w:val="00F448E6"/>
    <w:rsid w:val="00F46495"/>
    <w:rsid w:val="00F466A4"/>
    <w:rsid w:val="00F46C3D"/>
    <w:rsid w:val="00F47731"/>
    <w:rsid w:val="00F47734"/>
    <w:rsid w:val="00F537B8"/>
    <w:rsid w:val="00F55210"/>
    <w:rsid w:val="00F57CAA"/>
    <w:rsid w:val="00F60C65"/>
    <w:rsid w:val="00F6163F"/>
    <w:rsid w:val="00F62D32"/>
    <w:rsid w:val="00F63E1D"/>
    <w:rsid w:val="00F65A15"/>
    <w:rsid w:val="00F66292"/>
    <w:rsid w:val="00F662A0"/>
    <w:rsid w:val="00F668B5"/>
    <w:rsid w:val="00F669B7"/>
    <w:rsid w:val="00F66AC9"/>
    <w:rsid w:val="00F70CFF"/>
    <w:rsid w:val="00F712C1"/>
    <w:rsid w:val="00F728D1"/>
    <w:rsid w:val="00F72D8A"/>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 w:type="character" w:styleId="Pogrubienie">
    <w:name w:val="Strong"/>
    <w:basedOn w:val="Domylnaczcionkaakapitu"/>
    <w:uiPriority w:val="22"/>
    <w:qFormat/>
    <w:rsid w:val="00EF6E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image" Target="media/image8.emf"/><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footer" Target="footer4.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image" Target="media/image7.emf"/><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image" Target="media/image5.emf"/><Relationship Id="rId76" Type="http://schemas.openxmlformats.org/officeDocument/2006/relationships/header" Target="header58.xml"/><Relationship Id="rId97" Type="http://schemas.openxmlformats.org/officeDocument/2006/relationships/header" Target="header76.xml"/><Relationship Id="rId104" Type="http://schemas.microsoft.com/office/2011/relationships/people" Target="people.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image" Target="media/image6.emf"/><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9EEB3-82ED-4482-9AEE-C26CBB603CC2}">
  <ds:schemaRefs>
    <ds:schemaRef ds:uri="http://schemas.openxmlformats.org/officeDocument/2006/bibliography"/>
  </ds:schemaRefs>
</ds:datastoreItem>
</file>

<file path=customXml/itemProps2.xml><?xml version="1.0" encoding="utf-8"?>
<ds:datastoreItem xmlns:ds="http://schemas.openxmlformats.org/officeDocument/2006/customXml" ds:itemID="{21C271A1-1E9B-4E4E-B3DA-56E0E84D3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97</Pages>
  <Words>81823</Words>
  <Characters>490942</Characters>
  <Application>Microsoft Office Word</Application>
  <DocSecurity>0</DocSecurity>
  <Lines>4091</Lines>
  <Paragraphs>1143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14</cp:revision>
  <cp:lastPrinted>2017-03-28T07:27:00Z</cp:lastPrinted>
  <dcterms:created xsi:type="dcterms:W3CDTF">2020-12-16T10:00:00Z</dcterms:created>
  <dcterms:modified xsi:type="dcterms:W3CDTF">2021-03-08T09:22:00Z</dcterms:modified>
</cp:coreProperties>
</file>